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FBAFB8">
      <w:pPr>
        <w:widowControl w:val="0"/>
        <w:kinsoku/>
        <w:spacing w:line="590" w:lineRule="exact"/>
        <w:jc w:val="center"/>
        <w:rPr>
          <w:rFonts w:hint="eastAsia" w:ascii="方正小标宋简体" w:hAnsi="方正小标宋简体" w:eastAsia="方正小标宋简体" w:cs="方正小标宋简体"/>
          <w:spacing w:val="7"/>
          <w:sz w:val="44"/>
          <w:szCs w:val="44"/>
          <w:lang w:eastAsia="zh-CN"/>
        </w:rPr>
      </w:pPr>
      <w:r>
        <w:rPr>
          <w:rFonts w:hint="eastAsia" w:ascii="方正小标宋简体" w:hAnsi="方正小标宋简体" w:eastAsia="方正小标宋简体" w:cs="方正小标宋简体"/>
          <w:spacing w:val="7"/>
          <w:sz w:val="44"/>
          <w:szCs w:val="44"/>
          <w:lang w:eastAsia="zh-CN"/>
        </w:rPr>
        <w:t>亳州市建筑市场信用管理办法</w:t>
      </w:r>
    </w:p>
    <w:p w14:paraId="5F06153D">
      <w:pPr>
        <w:widowControl w:val="0"/>
        <w:kinsoku/>
        <w:spacing w:line="590" w:lineRule="exact"/>
        <w:jc w:val="center"/>
        <w:rPr>
          <w:rFonts w:ascii="方正小标宋简体" w:hAnsi="方正小标宋简体" w:eastAsia="方正小标宋简体" w:cs="方正小标宋简体"/>
          <w:spacing w:val="7"/>
          <w:sz w:val="44"/>
          <w:szCs w:val="44"/>
          <w:lang w:eastAsia="zh-CN"/>
        </w:rPr>
      </w:pPr>
      <w:bookmarkStart w:id="0" w:name="_GoBack"/>
      <w:bookmarkEnd w:id="0"/>
      <w:r>
        <w:rPr>
          <w:rFonts w:hint="eastAsia" w:ascii="方正小标宋简体" w:hAnsi="方正小标宋简体" w:eastAsia="方正小标宋简体" w:cs="方正小标宋简体"/>
          <w:spacing w:val="7"/>
          <w:sz w:val="44"/>
          <w:szCs w:val="44"/>
          <w:lang w:eastAsia="zh-CN"/>
        </w:rPr>
        <w:t>（征求意见稿）</w:t>
      </w:r>
    </w:p>
    <w:p w14:paraId="7317055D">
      <w:pPr>
        <w:widowControl w:val="0"/>
        <w:kinsoku/>
        <w:spacing w:line="590" w:lineRule="exact"/>
        <w:jc w:val="center"/>
        <w:rPr>
          <w:rFonts w:ascii="黑体" w:hAnsi="黑体" w:eastAsia="黑体" w:cs="黑体"/>
          <w:sz w:val="32"/>
          <w:szCs w:val="32"/>
          <w:lang w:eastAsia="zh-CN"/>
        </w:rPr>
      </w:pPr>
      <w:r>
        <w:rPr>
          <w:rFonts w:ascii="黑体" w:hAnsi="黑体" w:eastAsia="黑体" w:cs="黑体"/>
          <w:spacing w:val="3"/>
          <w:sz w:val="32"/>
          <w:szCs w:val="32"/>
          <w:lang w:eastAsia="zh-CN"/>
        </w:rPr>
        <w:t>第一章</w:t>
      </w:r>
      <w:r>
        <w:rPr>
          <w:rFonts w:ascii="黑体" w:hAnsi="黑体" w:eastAsia="黑体" w:cs="黑体"/>
          <w:spacing w:val="23"/>
          <w:sz w:val="32"/>
          <w:szCs w:val="32"/>
          <w:lang w:eastAsia="zh-CN"/>
        </w:rPr>
        <w:t xml:space="preserve"> </w:t>
      </w:r>
      <w:r>
        <w:rPr>
          <w:rFonts w:ascii="黑体" w:hAnsi="黑体" w:eastAsia="黑体" w:cs="黑体"/>
          <w:spacing w:val="3"/>
          <w:sz w:val="32"/>
          <w:szCs w:val="32"/>
          <w:lang w:eastAsia="zh-CN"/>
        </w:rPr>
        <w:t>总则</w:t>
      </w:r>
    </w:p>
    <w:p w14:paraId="427FA59B">
      <w:pPr>
        <w:spacing w:line="590" w:lineRule="exact"/>
        <w:ind w:firstLine="643" w:firstLineChars="200"/>
        <w:jc w:val="both"/>
        <w:rPr>
          <w:rFonts w:ascii="仿宋_GB2312" w:hAnsi="仿宋_GB2312" w:eastAsia="仿宋_GB2312" w:cs="仿宋_GB2312"/>
          <w:snapToGrid/>
          <w:kern w:val="2"/>
          <w:sz w:val="32"/>
          <w:szCs w:val="32"/>
          <w:shd w:val="clear" w:color="auto" w:fill="FFFFFF"/>
          <w:lang w:eastAsia="zh-CN"/>
        </w:rPr>
      </w:pPr>
      <w:r>
        <w:rPr>
          <w:rFonts w:hint="eastAsia" w:ascii="仿宋_GB2312" w:hAnsi="仿宋_GB2312" w:eastAsia="仿宋_GB2312" w:cs="仿宋_GB2312"/>
          <w:b/>
          <w:bCs/>
          <w:snapToGrid/>
          <w:color w:val="000000"/>
          <w:spacing w:val="0"/>
          <w:kern w:val="2"/>
          <w:sz w:val="32"/>
          <w:szCs w:val="32"/>
          <w:shd w:val="clear" w:color="auto" w:fill="FFFFFF"/>
          <w:lang w:eastAsia="zh-CN"/>
        </w:rPr>
        <w:t>第一条</w:t>
      </w:r>
      <w:r>
        <w:rPr>
          <w:rFonts w:hint="eastAsia" w:ascii="仿宋_GB2312" w:hAnsi="仿宋_GB2312" w:eastAsia="仿宋_GB2312" w:cs="仿宋_GB2312"/>
          <w:b/>
          <w:bCs/>
          <w:snapToGrid/>
          <w:color w:val="000000"/>
          <w:spacing w:val="0"/>
          <w:kern w:val="2"/>
          <w:sz w:val="32"/>
          <w:szCs w:val="32"/>
          <w:shd w:val="clear" w:color="auto" w:fill="FFFFFF"/>
          <w:lang w:val="en-US" w:eastAsia="zh-CN"/>
        </w:rPr>
        <w:t xml:space="preserve"> </w:t>
      </w:r>
      <w:r>
        <w:rPr>
          <w:rFonts w:hint="eastAsia" w:ascii="仿宋_GB2312" w:hAnsi="仿宋_GB2312" w:eastAsia="仿宋_GB2312" w:cs="仿宋_GB2312"/>
          <w:snapToGrid/>
          <w:kern w:val="2"/>
          <w:sz w:val="32"/>
          <w:szCs w:val="32"/>
          <w:shd w:val="clear" w:color="auto" w:fill="FFFFFF"/>
          <w:lang w:eastAsia="zh-CN"/>
        </w:rPr>
        <w:t>为推进建筑市场信用体系建设，维护市场主体合法权益，规范建筑市场秩序，推动建筑市场高质量发展，营造良好的营商环境，根据《中华人民共和国建筑法》《中共中央办公厅国务院办公厅印发&lt;关于推进社会信用体系建设高质量发展促进形成新发展格局的意见&gt;的通知》《国务院关于建立完善守信联合激励和失信惩戒制度 加快推进社会诚信体系建设的指导意见》要求，结合我市实际，制定本办法。</w:t>
      </w:r>
    </w:p>
    <w:p w14:paraId="44998842">
      <w:pPr>
        <w:kinsoku/>
        <w:spacing w:line="590" w:lineRule="exact"/>
        <w:ind w:firstLine="643" w:firstLineChars="200"/>
        <w:jc w:val="both"/>
        <w:rPr>
          <w:rFonts w:ascii="仿宋_GB2312" w:hAnsi="仿宋_GB2312" w:eastAsia="仿宋_GB2312" w:cs="仿宋_GB2312"/>
          <w:color w:val="auto"/>
          <w:spacing w:val="16"/>
          <w:sz w:val="32"/>
          <w:szCs w:val="32"/>
          <w:lang w:eastAsia="zh-CN"/>
        </w:rPr>
      </w:pPr>
      <w:r>
        <w:rPr>
          <w:rFonts w:hint="eastAsia" w:ascii="仿宋_GB2312" w:hAnsi="仿宋_GB2312" w:eastAsia="仿宋_GB2312" w:cs="仿宋_GB2312"/>
          <w:b/>
          <w:bCs/>
          <w:snapToGrid/>
          <w:color w:val="000000"/>
          <w:spacing w:val="0"/>
          <w:kern w:val="2"/>
          <w:sz w:val="32"/>
          <w:szCs w:val="32"/>
          <w:shd w:val="clear" w:color="auto" w:fill="FFFFFF"/>
          <w:lang w:eastAsia="zh-CN"/>
        </w:rPr>
        <w:t>第二条</w:t>
      </w:r>
      <w:r>
        <w:rPr>
          <w:rFonts w:hint="eastAsia" w:ascii="仿宋_GB2312" w:hAnsi="仿宋_GB2312" w:eastAsia="仿宋_GB2312" w:cs="仿宋_GB2312"/>
          <w:b/>
          <w:bCs/>
          <w:snapToGrid/>
          <w:color w:val="000000"/>
          <w:spacing w:val="0"/>
          <w:kern w:val="2"/>
          <w:sz w:val="32"/>
          <w:szCs w:val="32"/>
          <w:shd w:val="clear" w:color="auto" w:fill="FFFFFF"/>
          <w:lang w:val="en-US" w:eastAsia="zh-CN"/>
        </w:rPr>
        <w:t xml:space="preserve"> </w:t>
      </w:r>
      <w:r>
        <w:rPr>
          <w:rFonts w:hint="eastAsia" w:ascii="仿宋_GB2312" w:hAnsi="仿宋_GB2312" w:eastAsia="仿宋_GB2312" w:cs="仿宋_GB2312"/>
          <w:snapToGrid/>
          <w:color w:val="000000"/>
          <w:spacing w:val="0"/>
          <w:kern w:val="2"/>
          <w:sz w:val="32"/>
          <w:szCs w:val="32"/>
          <w:shd w:val="clear" w:color="auto" w:fill="FFFFFF"/>
          <w:lang w:eastAsia="zh-CN"/>
        </w:rPr>
        <w:t>本办法评价对象为取得建筑业资质证书，从事房屋建筑和市政基础设施工程等施工活动的企业(包含市外企业)。</w:t>
      </w:r>
    </w:p>
    <w:p w14:paraId="105BBD22">
      <w:pPr>
        <w:spacing w:line="590" w:lineRule="exact"/>
        <w:ind w:firstLine="643" w:firstLineChars="200"/>
        <w:jc w:val="both"/>
        <w:rPr>
          <w:rFonts w:ascii="仿宋_GB2312" w:hAnsi="仿宋_GB2312" w:eastAsia="仿宋_GB2312" w:cs="仿宋_GB2312"/>
          <w:color w:val="auto"/>
          <w:spacing w:val="16"/>
          <w:sz w:val="32"/>
          <w:szCs w:val="32"/>
          <w:lang w:eastAsia="zh-CN"/>
        </w:rPr>
      </w:pPr>
      <w:r>
        <w:rPr>
          <w:rFonts w:hint="eastAsia" w:ascii="仿宋_GB2312" w:hAnsi="仿宋_GB2312" w:eastAsia="仿宋_GB2312" w:cs="仿宋_GB2312"/>
          <w:b/>
          <w:bCs/>
          <w:snapToGrid/>
          <w:color w:val="000000"/>
          <w:spacing w:val="0"/>
          <w:kern w:val="2"/>
          <w:sz w:val="32"/>
          <w:szCs w:val="32"/>
          <w:shd w:val="clear" w:color="auto" w:fill="FFFFFF"/>
          <w:lang w:eastAsia="zh-CN"/>
        </w:rPr>
        <w:t>第三条</w:t>
      </w:r>
      <w:r>
        <w:rPr>
          <w:rFonts w:hint="eastAsia" w:ascii="方正楷体_GBK" w:hAnsi="方正楷体_GBK" w:eastAsia="方正楷体_GBK" w:cs="方正楷体_GBK"/>
          <w:b/>
          <w:bCs/>
          <w:color w:val="FF0000"/>
          <w:spacing w:val="4"/>
          <w:sz w:val="32"/>
          <w:szCs w:val="32"/>
          <w:lang w:eastAsia="zh-CN"/>
          <w14:textOutline w14:w="5791" w14:cap="sq" w14:cmpd="sng" w14:algn="ctr">
            <w14:solidFill>
              <w14:srgbClr w14:val="000000"/>
            </w14:solidFill>
            <w14:prstDash w14:val="solid"/>
            <w14:bevel/>
          </w14:textOutline>
        </w:rPr>
        <w:t xml:space="preserve"> </w:t>
      </w:r>
      <w:r>
        <w:rPr>
          <w:rFonts w:hint="eastAsia" w:ascii="仿宋_GB2312" w:hAnsi="仿宋_GB2312" w:eastAsia="仿宋_GB2312" w:cs="仿宋_GB2312"/>
          <w:snapToGrid/>
          <w:color w:val="000000"/>
          <w:spacing w:val="0"/>
          <w:kern w:val="2"/>
          <w:sz w:val="32"/>
          <w:szCs w:val="32"/>
          <w:shd w:val="clear" w:color="auto" w:fill="FFFFFF"/>
          <w:lang w:eastAsia="zh-CN"/>
        </w:rPr>
        <w:t>市住房和城乡建设局负责全市建筑市场信用管理工作，指导和监督各县（区）住房和城乡建设主管部门建筑市场信用管理工作。各县（区）住房和城乡建设主管部门负责本辖区内建筑市场信用管理工作。</w:t>
      </w:r>
    </w:p>
    <w:p w14:paraId="01F9F39F">
      <w:pPr>
        <w:spacing w:line="590" w:lineRule="exact"/>
        <w:jc w:val="center"/>
        <w:rPr>
          <w:rFonts w:ascii="黑体" w:hAnsi="黑体" w:eastAsia="黑体" w:cs="宋体"/>
          <w:bCs/>
          <w:snapToGrid/>
          <w:color w:val="auto"/>
          <w:sz w:val="32"/>
          <w:szCs w:val="32"/>
          <w:lang w:eastAsia="zh-CN"/>
        </w:rPr>
      </w:pPr>
      <w:r>
        <w:rPr>
          <w:rFonts w:hint="eastAsia" w:ascii="黑体" w:hAnsi="黑体" w:eastAsia="黑体" w:cs="黑体"/>
          <w:spacing w:val="3"/>
          <w:sz w:val="32"/>
          <w:szCs w:val="32"/>
          <w:lang w:eastAsia="zh-CN"/>
        </w:rPr>
        <w:t xml:space="preserve">第二章 </w:t>
      </w:r>
      <w:r>
        <w:rPr>
          <w:rFonts w:hint="eastAsia" w:ascii="黑体" w:hAnsi="黑体" w:eastAsia="黑体" w:cs="宋体"/>
          <w:bCs/>
          <w:snapToGrid/>
          <w:color w:val="auto"/>
          <w:sz w:val="32"/>
          <w:szCs w:val="32"/>
          <w:lang w:eastAsia="zh-CN"/>
        </w:rPr>
        <w:t>评价内容</w:t>
      </w:r>
    </w:p>
    <w:p w14:paraId="48876E87">
      <w:pPr>
        <w:spacing w:line="590" w:lineRule="exact"/>
        <w:ind w:firstLine="643" w:firstLineChars="200"/>
        <w:jc w:val="both"/>
        <w:rPr>
          <w:rFonts w:ascii="仿宋_GB2312" w:hAnsi="仿宋_GB2312" w:eastAsia="仿宋_GB2312" w:cs="仿宋_GB2312"/>
          <w:snapToGrid/>
          <w:kern w:val="2"/>
          <w:sz w:val="32"/>
          <w:szCs w:val="32"/>
          <w:shd w:val="clear" w:color="auto" w:fill="FFFFFF"/>
          <w:lang w:eastAsia="zh-CN"/>
        </w:rPr>
      </w:pPr>
      <w:r>
        <w:rPr>
          <w:rFonts w:hint="eastAsia" w:ascii="仿宋_GB2312" w:hAnsi="仿宋_GB2312" w:eastAsia="仿宋_GB2312" w:cs="仿宋_GB2312"/>
          <w:b/>
          <w:bCs/>
          <w:snapToGrid/>
          <w:color w:val="000000"/>
          <w:spacing w:val="0"/>
          <w:kern w:val="2"/>
          <w:sz w:val="32"/>
          <w:szCs w:val="32"/>
          <w:shd w:val="clear" w:color="auto" w:fill="FFFFFF"/>
          <w:lang w:eastAsia="zh-CN"/>
        </w:rPr>
        <w:t>第四条</w:t>
      </w:r>
      <w:r>
        <w:rPr>
          <w:rFonts w:hint="eastAsia" w:ascii="方正楷体_GBK" w:hAnsi="方正楷体_GBK" w:eastAsia="方正楷体_GBK" w:cs="方正楷体_GBK"/>
          <w:b/>
          <w:bCs/>
          <w:color w:val="FF0000"/>
          <w:spacing w:val="4"/>
          <w:sz w:val="32"/>
          <w:szCs w:val="32"/>
          <w:lang w:eastAsia="zh-CN"/>
          <w14:textOutline w14:w="5791" w14:cap="sq" w14:cmpd="sng" w14:algn="ctr">
            <w14:solidFill>
              <w14:srgbClr w14:val="000000"/>
            </w14:solidFill>
            <w14:prstDash w14:val="solid"/>
            <w14:bevel/>
          </w14:textOutline>
        </w:rPr>
        <w:t xml:space="preserve"> </w:t>
      </w:r>
      <w:r>
        <w:rPr>
          <w:rFonts w:hint="eastAsia" w:ascii="仿宋_GB2312" w:hAnsi="仿宋_GB2312" w:eastAsia="仿宋_GB2312" w:cs="仿宋_GB2312"/>
          <w:snapToGrid/>
          <w:kern w:val="2"/>
          <w:sz w:val="32"/>
          <w:szCs w:val="32"/>
          <w:shd w:val="clear" w:color="auto" w:fill="FFFFFF"/>
          <w:lang w:eastAsia="zh-CN"/>
        </w:rPr>
        <w:t>建筑业企业信用评价采用百分制。信用评价由市场行为分，质量、安全、文明施工分，实名制管理分三个部分组成（详见附件）。</w:t>
      </w:r>
    </w:p>
    <w:p w14:paraId="02B0533E">
      <w:pPr>
        <w:widowControl w:val="0"/>
        <w:kinsoku/>
        <w:autoSpaceDE/>
        <w:autoSpaceDN/>
        <w:adjustRightInd/>
        <w:snapToGrid/>
        <w:spacing w:line="540" w:lineRule="exact"/>
        <w:ind w:firstLine="640" w:firstLineChars="200"/>
        <w:jc w:val="both"/>
        <w:textAlignment w:val="auto"/>
        <w:rPr>
          <w:rFonts w:ascii="仿宋_GB2312" w:hAnsi="华文楷体" w:eastAsia="仿宋_GB2312" w:cs="宋体"/>
          <w:bCs/>
          <w:snapToGrid/>
          <w:color w:val="auto"/>
          <w:sz w:val="32"/>
          <w:szCs w:val="32"/>
          <w:lang w:eastAsia="zh-CN"/>
        </w:rPr>
      </w:pPr>
      <w:r>
        <w:rPr>
          <w:rFonts w:hint="eastAsia" w:ascii="楷体" w:hAnsi="楷体" w:eastAsia="楷体" w:cs="楷体"/>
          <w:snapToGrid/>
          <w:kern w:val="2"/>
          <w:sz w:val="32"/>
          <w:szCs w:val="32"/>
          <w:shd w:val="clear" w:color="auto" w:fill="FFFFFF"/>
          <w:lang w:eastAsia="zh-CN"/>
        </w:rPr>
        <w:t>（一）市场行为分（满分</w:t>
      </w:r>
      <w:r>
        <w:rPr>
          <w:rFonts w:hint="eastAsia" w:ascii="楷体" w:hAnsi="楷体" w:eastAsia="楷体" w:cs="楷体"/>
          <w:snapToGrid/>
          <w:kern w:val="2"/>
          <w:sz w:val="32"/>
          <w:szCs w:val="32"/>
          <w:shd w:val="clear" w:color="auto" w:fill="FFFFFF"/>
          <w:lang w:val="en-US" w:eastAsia="zh-CN"/>
        </w:rPr>
        <w:t>40</w:t>
      </w:r>
      <w:r>
        <w:rPr>
          <w:rFonts w:hint="eastAsia" w:ascii="楷体" w:hAnsi="楷体" w:eastAsia="楷体" w:cs="楷体"/>
          <w:snapToGrid/>
          <w:kern w:val="2"/>
          <w:sz w:val="32"/>
          <w:szCs w:val="32"/>
          <w:shd w:val="clear" w:color="auto" w:fill="FFFFFF"/>
          <w:lang w:eastAsia="zh-CN"/>
        </w:rPr>
        <w:t>分）。</w:t>
      </w:r>
      <w:r>
        <w:rPr>
          <w:rFonts w:hint="eastAsia" w:ascii="仿宋_GB2312" w:hAnsi="华文楷体" w:eastAsia="仿宋_GB2312" w:cs="宋体"/>
          <w:bCs/>
          <w:snapToGrid/>
          <w:color w:val="auto"/>
          <w:sz w:val="32"/>
          <w:szCs w:val="32"/>
          <w:lang w:eastAsia="zh-CN"/>
        </w:rPr>
        <w:t>由起评分，产值及纳税、政府及主管部门表彰、通报、高质量发展、绿色发展、行政处罚、通报、约谈、建筑市场不良行为、违法行为等分数构成。</w:t>
      </w:r>
    </w:p>
    <w:p w14:paraId="5FCCB919">
      <w:pPr>
        <w:widowControl w:val="0"/>
        <w:kinsoku/>
        <w:autoSpaceDE/>
        <w:autoSpaceDN/>
        <w:adjustRightInd/>
        <w:snapToGrid/>
        <w:spacing w:line="540" w:lineRule="exact"/>
        <w:ind w:firstLine="630"/>
        <w:jc w:val="both"/>
        <w:textAlignment w:val="auto"/>
        <w:rPr>
          <w:rFonts w:ascii="仿宋_GB2312" w:hAnsi="华文楷体" w:eastAsia="仿宋_GB2312" w:cs="宋体"/>
          <w:bCs/>
          <w:snapToGrid/>
          <w:color w:val="auto"/>
          <w:sz w:val="32"/>
          <w:szCs w:val="32"/>
          <w:lang w:eastAsia="zh-CN"/>
        </w:rPr>
      </w:pPr>
      <w:r>
        <w:rPr>
          <w:rFonts w:hint="eastAsia" w:ascii="楷体" w:hAnsi="楷体" w:eastAsia="楷体" w:cs="楷体"/>
          <w:snapToGrid/>
          <w:kern w:val="2"/>
          <w:sz w:val="32"/>
          <w:szCs w:val="32"/>
          <w:shd w:val="clear" w:color="auto" w:fill="FFFFFF"/>
          <w:lang w:eastAsia="zh-CN"/>
        </w:rPr>
        <w:t>（二）质量、安全、文明施工分（满分</w:t>
      </w:r>
      <w:r>
        <w:rPr>
          <w:rFonts w:hint="eastAsia" w:ascii="楷体" w:hAnsi="楷体" w:eastAsia="楷体" w:cs="楷体"/>
          <w:snapToGrid/>
          <w:kern w:val="2"/>
          <w:sz w:val="32"/>
          <w:szCs w:val="32"/>
          <w:shd w:val="clear" w:color="auto" w:fill="FFFFFF"/>
          <w:lang w:val="en-US" w:eastAsia="zh-CN"/>
        </w:rPr>
        <w:t>55</w:t>
      </w:r>
      <w:r>
        <w:rPr>
          <w:rFonts w:hint="eastAsia" w:ascii="楷体" w:hAnsi="楷体" w:eastAsia="楷体" w:cs="楷体"/>
          <w:snapToGrid/>
          <w:kern w:val="2"/>
          <w:sz w:val="32"/>
          <w:szCs w:val="32"/>
          <w:shd w:val="clear" w:color="auto" w:fill="FFFFFF"/>
          <w:lang w:eastAsia="zh-CN"/>
        </w:rPr>
        <w:t>分）。</w:t>
      </w:r>
      <w:r>
        <w:rPr>
          <w:rFonts w:hint="eastAsia" w:ascii="仿宋_GB2312" w:hAnsi="华文楷体" w:eastAsia="仿宋_GB2312" w:cs="宋体"/>
          <w:bCs/>
          <w:snapToGrid/>
          <w:color w:val="auto"/>
          <w:sz w:val="32"/>
          <w:szCs w:val="32"/>
          <w:lang w:eastAsia="zh-CN"/>
        </w:rPr>
        <w:t>由起评分，获得工程质量奖、技术进步与应用、标准化工程（工地）、优质工程、技术进步与应用、工程质量保险、通报、质量问题、行政处罚、施工不良行为、安全生产等分数构成。</w:t>
      </w:r>
    </w:p>
    <w:p w14:paraId="6F01A67C">
      <w:pPr>
        <w:widowControl w:val="0"/>
        <w:kinsoku/>
        <w:autoSpaceDE/>
        <w:autoSpaceDN/>
        <w:adjustRightInd/>
        <w:snapToGrid/>
        <w:spacing w:line="540" w:lineRule="exact"/>
        <w:ind w:firstLine="640" w:firstLineChars="200"/>
        <w:jc w:val="both"/>
        <w:textAlignment w:val="auto"/>
        <w:rPr>
          <w:rFonts w:ascii="仿宋_GB2312" w:hAnsi="仿宋_GB2312" w:eastAsia="仿宋_GB2312" w:cs="仿宋_GB2312"/>
          <w:snapToGrid/>
          <w:kern w:val="2"/>
          <w:sz w:val="32"/>
          <w:szCs w:val="32"/>
          <w:shd w:val="clear" w:color="auto" w:fill="FFFFFF"/>
          <w:lang w:eastAsia="zh-CN"/>
        </w:rPr>
      </w:pPr>
      <w:r>
        <w:rPr>
          <w:rFonts w:hint="eastAsia" w:ascii="楷体" w:hAnsi="楷体" w:eastAsia="楷体" w:cs="楷体"/>
          <w:snapToGrid/>
          <w:kern w:val="2"/>
          <w:sz w:val="32"/>
          <w:szCs w:val="32"/>
          <w:shd w:val="clear" w:color="auto" w:fill="FFFFFF"/>
          <w:lang w:eastAsia="zh-CN"/>
        </w:rPr>
        <w:t>（三）实名制管理分（满分</w:t>
      </w:r>
      <w:r>
        <w:rPr>
          <w:rFonts w:hint="eastAsia" w:ascii="楷体" w:hAnsi="楷体" w:eastAsia="楷体" w:cs="楷体"/>
          <w:snapToGrid/>
          <w:kern w:val="2"/>
          <w:sz w:val="32"/>
          <w:szCs w:val="32"/>
          <w:shd w:val="clear" w:color="auto" w:fill="FFFFFF"/>
          <w:lang w:val="en-US" w:eastAsia="zh-CN"/>
        </w:rPr>
        <w:t>5</w:t>
      </w:r>
      <w:r>
        <w:rPr>
          <w:rFonts w:hint="eastAsia" w:ascii="楷体" w:hAnsi="楷体" w:eastAsia="楷体" w:cs="楷体"/>
          <w:snapToGrid/>
          <w:kern w:val="2"/>
          <w:sz w:val="32"/>
          <w:szCs w:val="32"/>
          <w:shd w:val="clear" w:color="auto" w:fill="FFFFFF"/>
          <w:lang w:eastAsia="zh-CN"/>
        </w:rPr>
        <w:t>分）。</w:t>
      </w:r>
      <w:r>
        <w:rPr>
          <w:rFonts w:hint="eastAsia" w:ascii="仿宋_GB2312" w:hAnsi="华文楷体" w:eastAsia="仿宋_GB2312" w:cs="宋体"/>
          <w:bCs/>
          <w:snapToGrid/>
          <w:color w:val="auto"/>
          <w:sz w:val="32"/>
          <w:szCs w:val="32"/>
          <w:lang w:eastAsia="zh-CN"/>
        </w:rPr>
        <w:t>由起评分、年度考核、规范管理、清欠失信行为、工资支付管理、平台管理等分数构成。</w:t>
      </w:r>
    </w:p>
    <w:p w14:paraId="1E881ABF">
      <w:pPr>
        <w:widowControl w:val="0"/>
        <w:kinsoku/>
        <w:spacing w:line="590" w:lineRule="exact"/>
        <w:jc w:val="center"/>
        <w:rPr>
          <w:rFonts w:ascii="仿宋_GB2312" w:hAnsi="仿宋_GB2312" w:eastAsia="仿宋_GB2312" w:cs="仿宋_GB2312"/>
          <w:color w:val="auto"/>
          <w:spacing w:val="4"/>
          <w:sz w:val="32"/>
          <w:szCs w:val="32"/>
          <w:lang w:eastAsia="zh-CN"/>
          <w14:textOutline w14:w="5791" w14:cap="sq" w14:cmpd="sng" w14:algn="ctr">
            <w14:solidFill>
              <w14:srgbClr w14:val="000000"/>
            </w14:solidFill>
            <w14:prstDash w14:val="solid"/>
            <w14:bevel/>
          </w14:textOutline>
        </w:rPr>
      </w:pPr>
      <w:r>
        <w:rPr>
          <w:rFonts w:ascii="黑体" w:hAnsi="黑体" w:eastAsia="黑体" w:cs="黑体"/>
          <w:color w:val="auto"/>
          <w:spacing w:val="3"/>
          <w:sz w:val="32"/>
          <w:szCs w:val="32"/>
          <w:lang w:eastAsia="zh-CN"/>
        </w:rPr>
        <w:t>第</w:t>
      </w:r>
      <w:r>
        <w:rPr>
          <w:rFonts w:hint="eastAsia" w:ascii="黑体" w:hAnsi="黑体" w:eastAsia="黑体" w:cs="黑体"/>
          <w:color w:val="auto"/>
          <w:spacing w:val="3"/>
          <w:sz w:val="32"/>
          <w:szCs w:val="32"/>
          <w:lang w:eastAsia="zh-CN"/>
        </w:rPr>
        <w:t>三</w:t>
      </w:r>
      <w:r>
        <w:rPr>
          <w:rFonts w:ascii="黑体" w:hAnsi="黑体" w:eastAsia="黑体" w:cs="黑体"/>
          <w:color w:val="auto"/>
          <w:spacing w:val="3"/>
          <w:sz w:val="32"/>
          <w:szCs w:val="32"/>
          <w:lang w:eastAsia="zh-CN"/>
        </w:rPr>
        <w:t>章</w:t>
      </w:r>
      <w:r>
        <w:rPr>
          <w:rFonts w:ascii="黑体" w:hAnsi="黑体" w:eastAsia="黑体" w:cs="黑体"/>
          <w:color w:val="auto"/>
          <w:spacing w:val="23"/>
          <w:sz w:val="32"/>
          <w:szCs w:val="32"/>
          <w:lang w:eastAsia="zh-CN"/>
        </w:rPr>
        <w:t xml:space="preserve"> </w:t>
      </w:r>
      <w:r>
        <w:rPr>
          <w:rFonts w:hint="eastAsia" w:ascii="黑体" w:hAnsi="黑体" w:eastAsia="黑体" w:cs="黑体"/>
          <w:color w:val="auto"/>
          <w:spacing w:val="23"/>
          <w:sz w:val="32"/>
          <w:szCs w:val="32"/>
          <w:lang w:eastAsia="zh-CN"/>
        </w:rPr>
        <w:t>评价工作流程</w:t>
      </w:r>
    </w:p>
    <w:p w14:paraId="4941888E">
      <w:pPr>
        <w:spacing w:line="590" w:lineRule="exact"/>
        <w:ind w:firstLine="643" w:firstLineChars="200"/>
        <w:jc w:val="both"/>
        <w:rPr>
          <w:rFonts w:hint="eastAsia" w:ascii="仿宋_GB2312" w:hAnsi="仿宋_GB2312" w:eastAsia="仿宋_GB2312" w:cs="仿宋_GB2312"/>
          <w:snapToGrid/>
          <w:color w:val="auto"/>
          <w:kern w:val="2"/>
          <w:sz w:val="32"/>
          <w:szCs w:val="32"/>
          <w:shd w:val="clear" w:color="auto" w:fill="FFFFFF"/>
          <w:lang w:val="en-US" w:eastAsia="zh-CN"/>
        </w:rPr>
      </w:pPr>
      <w:r>
        <w:rPr>
          <w:rFonts w:hint="eastAsia" w:ascii="仿宋_GB2312" w:hAnsi="仿宋_GB2312" w:eastAsia="仿宋_GB2312" w:cs="仿宋_GB2312"/>
          <w:b/>
          <w:bCs/>
          <w:snapToGrid/>
          <w:color w:val="000000"/>
          <w:spacing w:val="0"/>
          <w:kern w:val="2"/>
          <w:sz w:val="32"/>
          <w:szCs w:val="32"/>
          <w:shd w:val="clear" w:color="auto" w:fill="FFFFFF"/>
          <w:lang w:eastAsia="zh-CN"/>
        </w:rPr>
        <w:t>第五条</w:t>
      </w:r>
      <w:r>
        <w:rPr>
          <w:rFonts w:hint="eastAsia" w:ascii="方正楷体_GBK" w:hAnsi="方正楷体_GBK" w:eastAsia="方正楷体_GBK" w:cs="方正楷体_GBK"/>
          <w:color w:val="auto"/>
          <w:spacing w:val="4"/>
          <w:sz w:val="32"/>
          <w:szCs w:val="32"/>
          <w:lang w:val="en-US" w:eastAsia="zh-CN"/>
          <w14:textOutline w14:w="5791" w14:cap="sq" w14:cmpd="sng" w14:algn="ctr">
            <w14:solidFill>
              <w14:srgbClr w14:val="000000"/>
            </w14:solidFill>
            <w14:prstDash w14:val="solid"/>
            <w14:bevel/>
          </w14:textOutline>
        </w:rPr>
        <w:t xml:space="preserve"> </w:t>
      </w:r>
      <w:r>
        <w:rPr>
          <w:rFonts w:hint="eastAsia" w:ascii="仿宋_GB2312" w:hAnsi="仿宋_GB2312" w:eastAsia="仿宋_GB2312" w:cs="仿宋_GB2312"/>
          <w:snapToGrid/>
          <w:color w:val="000000"/>
          <w:spacing w:val="0"/>
          <w:kern w:val="2"/>
          <w:sz w:val="32"/>
          <w:szCs w:val="32"/>
          <w:shd w:val="clear" w:color="auto" w:fill="FFFFFF"/>
          <w:lang w:val="en-US" w:eastAsia="zh-CN"/>
        </w:rPr>
        <w:t>建筑业企业</w:t>
      </w:r>
      <w:r>
        <w:rPr>
          <w:rFonts w:hint="eastAsia" w:ascii="仿宋_GB2312" w:hAnsi="仿宋_GB2312" w:eastAsia="仿宋_GB2312" w:cs="仿宋_GB2312"/>
          <w:snapToGrid/>
          <w:color w:val="000000"/>
          <w:kern w:val="2"/>
          <w:sz w:val="32"/>
          <w:szCs w:val="32"/>
          <w:shd w:val="clear" w:color="auto" w:fill="FFFFFF"/>
          <w:lang w:eastAsia="zh-CN"/>
        </w:rPr>
        <w:t>起评</w:t>
      </w:r>
      <w:r>
        <w:rPr>
          <w:rFonts w:hint="eastAsia" w:ascii="仿宋_GB2312" w:hAnsi="仿宋_GB2312" w:eastAsia="仿宋_GB2312" w:cs="仿宋_GB2312"/>
          <w:snapToGrid/>
          <w:color w:val="auto"/>
          <w:kern w:val="2"/>
          <w:sz w:val="32"/>
          <w:szCs w:val="32"/>
          <w:shd w:val="clear" w:color="auto" w:fill="FFFFFF"/>
          <w:lang w:eastAsia="zh-CN"/>
        </w:rPr>
        <w:t>分，市场分（政府及主管部门表彰、通报表扬、高质量发展），质量、安全、文明施工分（获得工程质量奖、工法、技术进步与应用、标准化工地、工程质量保险、受到表扬），实名制管理分（年度考核、规范管理、诚信评定）由企业登录“亳州市工程建设项目审批和全过程智慧监管平台”，进行信息录入和申报。注册地在本地的企业所有申报内容由辖区县（区）住建主管部门初审后、市建筑业管理服务中心进行复审、市住建局审定后，生成基础得分。市外企业申报内容由市建筑业管理服务中心进行审核、市住建局审定后，生成基础得分。</w:t>
      </w:r>
    </w:p>
    <w:p w14:paraId="06509124">
      <w:pPr>
        <w:spacing w:line="590" w:lineRule="exact"/>
        <w:ind w:firstLine="643" w:firstLineChars="200"/>
        <w:jc w:val="both"/>
        <w:rPr>
          <w:rFonts w:hint="eastAsia" w:ascii="仿宋_GB2312" w:hAnsi="仿宋_GB2312" w:eastAsia="仿宋_GB2312" w:cs="仿宋_GB2312"/>
          <w:snapToGrid/>
          <w:color w:val="auto"/>
          <w:kern w:val="2"/>
          <w:sz w:val="32"/>
          <w:szCs w:val="32"/>
          <w:shd w:val="clear" w:color="auto" w:fill="FFFFFF"/>
          <w:lang w:eastAsia="zh-CN"/>
        </w:rPr>
      </w:pPr>
      <w:r>
        <w:rPr>
          <w:rFonts w:hint="eastAsia" w:ascii="仿宋_GB2312" w:hAnsi="仿宋_GB2312" w:eastAsia="仿宋_GB2312" w:cs="仿宋_GB2312"/>
          <w:b/>
          <w:bCs/>
          <w:snapToGrid/>
          <w:color w:val="000000"/>
          <w:spacing w:val="0"/>
          <w:kern w:val="2"/>
          <w:sz w:val="32"/>
          <w:szCs w:val="32"/>
          <w:shd w:val="clear" w:color="auto" w:fill="FFFFFF"/>
          <w:lang w:eastAsia="zh-CN"/>
        </w:rPr>
        <w:t>第六条</w:t>
      </w:r>
      <w:r>
        <w:rPr>
          <w:rFonts w:hint="eastAsia" w:ascii="仿宋_GB2312" w:hAnsi="仿宋_GB2312" w:eastAsia="仿宋_GB2312" w:cs="仿宋_GB2312"/>
          <w:b/>
          <w:bCs/>
          <w:snapToGrid/>
          <w:color w:val="000000"/>
          <w:spacing w:val="0"/>
          <w:kern w:val="2"/>
          <w:sz w:val="32"/>
          <w:szCs w:val="32"/>
          <w:shd w:val="clear" w:color="auto" w:fill="FFFFFF"/>
          <w:lang w:val="en-US" w:eastAsia="zh-CN"/>
        </w:rPr>
        <w:t xml:space="preserve"> </w:t>
      </w:r>
      <w:r>
        <w:rPr>
          <w:rFonts w:hint="eastAsia" w:ascii="仿宋_GB2312" w:hAnsi="仿宋_GB2312" w:eastAsia="仿宋_GB2312" w:cs="仿宋_GB2312"/>
          <w:snapToGrid/>
          <w:color w:val="auto"/>
          <w:kern w:val="2"/>
          <w:sz w:val="32"/>
          <w:szCs w:val="32"/>
          <w:shd w:val="clear" w:color="auto" w:fill="FFFFFF"/>
          <w:lang w:eastAsia="zh-CN"/>
        </w:rPr>
        <w:t>市场行为分（行政处罚、通报、约谈、不良行为、招投标活动不良行为），质量、安全、文明施工分（发生质量事故、行政处罚、通报、不良行为、不可抵扣项），实名制管理分（清欠失信行为、工资支付管理、平台管理）等事项，由住建主管部门按职责动态开展，实时上传。</w:t>
      </w:r>
    </w:p>
    <w:p w14:paraId="55E82FCF">
      <w:pPr>
        <w:spacing w:line="590" w:lineRule="exact"/>
        <w:ind w:firstLine="643" w:firstLineChars="200"/>
        <w:jc w:val="both"/>
        <w:rPr>
          <w:rFonts w:hint="default" w:ascii="仿宋_GB2312" w:hAnsi="仿宋_GB2312" w:eastAsia="仿宋_GB2312" w:cs="仿宋_GB2312"/>
          <w:snapToGrid/>
          <w:color w:val="0000FF"/>
          <w:kern w:val="2"/>
          <w:sz w:val="32"/>
          <w:szCs w:val="32"/>
          <w:shd w:val="clear" w:color="auto" w:fill="FFFFFF"/>
          <w:lang w:val="en-US" w:eastAsia="zh-CN"/>
        </w:rPr>
      </w:pPr>
      <w:r>
        <w:rPr>
          <w:rFonts w:hint="eastAsia" w:ascii="仿宋_GB2312" w:hAnsi="仿宋_GB2312" w:eastAsia="仿宋_GB2312" w:cs="仿宋_GB2312"/>
          <w:b/>
          <w:bCs/>
          <w:snapToGrid/>
          <w:color w:val="000000"/>
          <w:kern w:val="2"/>
          <w:sz w:val="32"/>
          <w:szCs w:val="32"/>
          <w:shd w:val="clear" w:color="auto" w:fill="FFFFFF"/>
          <w:lang w:eastAsia="zh-CN"/>
        </w:rPr>
        <w:t>第七条</w:t>
      </w:r>
      <w:r>
        <w:rPr>
          <w:rFonts w:hint="eastAsia" w:ascii="仿宋_GB2312" w:hAnsi="仿宋_GB2312" w:eastAsia="仿宋_GB2312" w:cs="仿宋_GB2312"/>
          <w:b/>
          <w:bCs/>
          <w:snapToGrid/>
          <w:color w:val="000000"/>
          <w:kern w:val="2"/>
          <w:sz w:val="32"/>
          <w:szCs w:val="32"/>
          <w:shd w:val="clear" w:color="auto" w:fill="FFFFFF"/>
          <w:lang w:val="en-US" w:eastAsia="zh-CN"/>
        </w:rPr>
        <w:t xml:space="preserve"> </w:t>
      </w:r>
      <w:r>
        <w:rPr>
          <w:rFonts w:hint="eastAsia" w:ascii="仿宋_GB2312" w:hAnsi="仿宋_GB2312" w:eastAsia="仿宋_GB2312" w:cs="仿宋_GB2312"/>
          <w:snapToGrid w:val="0"/>
          <w:color w:val="000000"/>
          <w:spacing w:val="16"/>
          <w:kern w:val="0"/>
          <w:sz w:val="32"/>
          <w:szCs w:val="32"/>
          <w:shd w:val="clear" w:color="auto" w:fill="auto"/>
          <w:lang w:eastAsia="zh-CN"/>
        </w:rPr>
        <w:t>信用修复:不良行为扣分后，企业积极进行整改纠正不良行为、消除不良影响、作出信用承诺的，经企业、项目所在地住建主管部门和不良行为作出部门同意，可以向市住建局提出信用修复申请。</w:t>
      </w:r>
    </w:p>
    <w:p w14:paraId="795A691D">
      <w:pPr>
        <w:widowControl w:val="0"/>
        <w:kinsoku/>
        <w:spacing w:line="590" w:lineRule="exact"/>
        <w:jc w:val="center"/>
        <w:rPr>
          <w:rFonts w:ascii="黑体" w:hAnsi="黑体" w:eastAsia="黑体" w:cs="黑体"/>
          <w:spacing w:val="3"/>
          <w:sz w:val="32"/>
          <w:szCs w:val="32"/>
          <w:lang w:eastAsia="zh-CN"/>
        </w:rPr>
      </w:pPr>
      <w:r>
        <w:rPr>
          <w:rFonts w:hint="eastAsia" w:ascii="黑体" w:hAnsi="黑体" w:eastAsia="黑体" w:cs="黑体"/>
          <w:spacing w:val="3"/>
          <w:sz w:val="32"/>
          <w:szCs w:val="32"/>
          <w:lang w:eastAsia="zh-CN"/>
        </w:rPr>
        <w:t>第四章 信用评价等级</w:t>
      </w:r>
    </w:p>
    <w:p w14:paraId="750491C5">
      <w:pPr>
        <w:widowControl w:val="0"/>
        <w:kinsoku/>
        <w:autoSpaceDE/>
        <w:autoSpaceDN/>
        <w:adjustRightInd/>
        <w:snapToGrid/>
        <w:spacing w:line="560" w:lineRule="exact"/>
        <w:ind w:firstLine="643" w:firstLineChars="200"/>
        <w:jc w:val="left"/>
        <w:textAlignment w:val="auto"/>
        <w:rPr>
          <w:rFonts w:hint="eastAsia" w:ascii="仿宋_GB2312" w:hAnsi="仿宋_GB2312" w:eastAsia="仿宋_GB2312" w:cs="仿宋_GB2312"/>
          <w:spacing w:val="4"/>
          <w:lang w:eastAsia="zh-CN"/>
          <w14:textOutline w14:w="5791" w14:cap="sq" w14:cmpd="sng" w14:algn="ctr">
            <w14:solidFill>
              <w14:srgbClr w14:val="000000"/>
            </w14:solidFill>
            <w14:prstDash w14:val="solid"/>
            <w14:bevel/>
          </w14:textOutline>
        </w:rPr>
      </w:pPr>
      <w:r>
        <w:rPr>
          <w:rFonts w:hint="eastAsia" w:ascii="仿宋_GB2312" w:hAnsi="仿宋_GB2312" w:eastAsia="仿宋_GB2312" w:cs="仿宋_GB2312"/>
          <w:b/>
          <w:bCs/>
          <w:snapToGrid/>
          <w:color w:val="000000"/>
          <w:spacing w:val="0"/>
          <w:kern w:val="2"/>
          <w:sz w:val="32"/>
          <w:szCs w:val="32"/>
          <w:shd w:val="clear" w:color="auto" w:fill="FFFFFF"/>
          <w:lang w:eastAsia="zh-CN"/>
        </w:rPr>
        <w:t>第八条</w:t>
      </w:r>
      <w:r>
        <w:rPr>
          <w:rFonts w:hint="eastAsia" w:ascii="仿宋_GB2312" w:hAnsi="仿宋_GB2312" w:eastAsia="仿宋_GB2312" w:cs="仿宋_GB2312"/>
          <w:spacing w:val="16"/>
          <w:sz w:val="32"/>
          <w:szCs w:val="32"/>
          <w:lang w:eastAsia="zh-CN"/>
        </w:rPr>
        <w:t xml:space="preserve"> 建筑业企业信用评价分级工作实行定期评价的方式，定期评价周期为一个季度，评价依据为上一季度各建筑业企业在“</w:t>
      </w:r>
      <w:r>
        <w:rPr>
          <w:rFonts w:hint="eastAsia" w:ascii="仿宋_GB2312" w:hAnsi="仿宋_GB2312" w:eastAsia="仿宋_GB2312" w:cs="仿宋_GB2312"/>
          <w:snapToGrid/>
          <w:color w:val="auto"/>
          <w:kern w:val="2"/>
          <w:sz w:val="32"/>
          <w:szCs w:val="32"/>
          <w:shd w:val="clear" w:color="auto" w:fill="FFFFFF"/>
          <w:lang w:eastAsia="zh-CN"/>
        </w:rPr>
        <w:t>亳州市工程建设项目审批和全过程智慧监管平台</w:t>
      </w:r>
      <w:r>
        <w:rPr>
          <w:rFonts w:hint="eastAsia" w:ascii="仿宋_GB2312" w:hAnsi="仿宋_GB2312" w:eastAsia="仿宋_GB2312" w:cs="仿宋_GB2312"/>
          <w:spacing w:val="16"/>
          <w:sz w:val="32"/>
          <w:szCs w:val="32"/>
          <w:lang w:eastAsia="zh-CN"/>
        </w:rPr>
        <w:t>”中获得的实际信用分。</w:t>
      </w:r>
    </w:p>
    <w:p w14:paraId="4F86A9CE">
      <w:pPr>
        <w:pStyle w:val="3"/>
        <w:widowControl w:val="0"/>
        <w:kinsoku/>
        <w:spacing w:line="590" w:lineRule="exact"/>
        <w:ind w:firstLine="643"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b/>
          <w:bCs/>
          <w:snapToGrid/>
          <w:spacing w:val="0"/>
          <w:kern w:val="2"/>
          <w:sz w:val="32"/>
          <w:szCs w:val="32"/>
          <w:shd w:val="clear" w:color="auto" w:fill="FFFFFF"/>
          <w:lang w:eastAsia="zh-CN"/>
        </w:rPr>
        <w:t>第九条</w:t>
      </w:r>
      <w:r>
        <w:rPr>
          <w:rFonts w:hint="eastAsia" w:ascii="仿宋_GB2312" w:hAnsi="仿宋_GB2312" w:eastAsia="仿宋_GB2312" w:cs="仿宋_GB2312"/>
          <w:spacing w:val="4"/>
          <w:lang w:eastAsia="zh-CN"/>
          <w14:textOutline w14:w="5791" w14:cap="sq" w14:cmpd="sng" w14:algn="ctr">
            <w14:solidFill>
              <w14:srgbClr w14:val="000000"/>
            </w14:solidFill>
            <w14:prstDash w14:val="solid"/>
            <w14:bevel/>
          </w14:textOutline>
        </w:rPr>
        <w:t xml:space="preserve"> </w:t>
      </w:r>
      <w:r>
        <w:rPr>
          <w:rFonts w:hint="eastAsia" w:ascii="仿宋_GB2312" w:hAnsi="仿宋_GB2312" w:eastAsia="仿宋_GB2312" w:cs="仿宋_GB2312"/>
          <w:spacing w:val="16"/>
          <w:sz w:val="32"/>
          <w:szCs w:val="32"/>
          <w:lang w:eastAsia="zh-CN"/>
        </w:rPr>
        <w:t>一个信用评价周期（季度）内，根据企业</w:t>
      </w:r>
      <w:r>
        <w:rPr>
          <w:rFonts w:hint="eastAsia" w:ascii="仿宋_GB2312" w:hAnsi="仿宋_GB2312" w:eastAsia="仿宋_GB2312" w:cs="仿宋_GB2312"/>
          <w:snapToGrid/>
          <w:kern w:val="2"/>
          <w:sz w:val="32"/>
          <w:szCs w:val="32"/>
          <w:shd w:val="clear" w:color="auto" w:fill="FFFFFF"/>
          <w:lang w:eastAsia="zh-CN"/>
        </w:rPr>
        <w:t>信用评价得分</w:t>
      </w:r>
      <w:r>
        <w:rPr>
          <w:rFonts w:hint="eastAsia" w:ascii="仿宋_GB2312" w:hAnsi="仿宋_GB2312" w:eastAsia="仿宋_GB2312" w:cs="仿宋_GB2312"/>
          <w:spacing w:val="16"/>
          <w:sz w:val="32"/>
          <w:szCs w:val="32"/>
          <w:lang w:eastAsia="zh-CN"/>
        </w:rPr>
        <w:t>评定为A、B、C、D四个等级，分别表述为优秀、优良、一般和差。得分90分（含）以上的企业信用等级为A级，得分75分（含）至90分之间的企业信用等级为B级，得分60分（含）至75分的企业信用等级为C级，60分以下或发生第十条所列行为之一的，企业信用等级为D类。</w:t>
      </w:r>
    </w:p>
    <w:p w14:paraId="50817921">
      <w:pPr>
        <w:pStyle w:val="3"/>
        <w:widowControl w:val="0"/>
        <w:kinsoku/>
        <w:spacing w:line="590" w:lineRule="exact"/>
        <w:ind w:firstLine="643"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b/>
          <w:bCs/>
          <w:snapToGrid/>
          <w:spacing w:val="0"/>
          <w:kern w:val="2"/>
          <w:sz w:val="32"/>
          <w:szCs w:val="32"/>
          <w:shd w:val="clear" w:color="auto" w:fill="FFFFFF"/>
          <w:lang w:eastAsia="zh-CN"/>
        </w:rPr>
        <w:t>第十条</w:t>
      </w:r>
      <w:r>
        <w:rPr>
          <w:rFonts w:hint="eastAsia" w:ascii="仿宋_GB2312" w:hAnsi="仿宋_GB2312" w:eastAsia="仿宋_GB2312" w:cs="仿宋_GB2312"/>
          <w:b/>
          <w:bCs/>
          <w:snapToGrid/>
          <w:spacing w:val="0"/>
          <w:kern w:val="2"/>
          <w:sz w:val="32"/>
          <w:szCs w:val="32"/>
          <w:shd w:val="clear" w:color="auto" w:fill="FFFFFF"/>
          <w:lang w:val="en-US" w:eastAsia="zh-CN"/>
        </w:rPr>
        <w:t xml:space="preserve"> </w:t>
      </w:r>
      <w:r>
        <w:rPr>
          <w:rFonts w:hint="eastAsia" w:ascii="仿宋_GB2312" w:hAnsi="仿宋_GB2312" w:eastAsia="仿宋_GB2312" w:cs="仿宋_GB2312"/>
          <w:spacing w:val="16"/>
          <w:sz w:val="32"/>
          <w:szCs w:val="32"/>
          <w:lang w:eastAsia="zh-CN"/>
        </w:rPr>
        <w:t>建筑业</w:t>
      </w:r>
      <w:r>
        <w:rPr>
          <w:rFonts w:hint="eastAsia" w:ascii="仿宋_GB2312" w:hAnsi="仿宋_GB2312" w:eastAsia="仿宋_GB2312" w:cs="仿宋_GB2312"/>
          <w:color w:val="auto"/>
          <w:spacing w:val="16"/>
          <w:sz w:val="32"/>
          <w:szCs w:val="32"/>
          <w:lang w:eastAsia="zh-CN"/>
        </w:rPr>
        <w:t>企业</w:t>
      </w:r>
      <w:r>
        <w:rPr>
          <w:rFonts w:hint="eastAsia" w:ascii="仿宋_GB2312" w:hAnsi="仿宋_GB2312" w:eastAsia="仿宋_GB2312" w:cs="仿宋_GB2312"/>
          <w:spacing w:val="16"/>
          <w:sz w:val="32"/>
          <w:szCs w:val="32"/>
          <w:lang w:eastAsia="zh-CN"/>
        </w:rPr>
        <w:t>有下列行为之一的，实行一票否决，信用考核等级为D级：</w:t>
      </w:r>
    </w:p>
    <w:p w14:paraId="11080801">
      <w:pPr>
        <w:pStyle w:val="3"/>
        <w:widowControl w:val="0"/>
        <w:kinsoku/>
        <w:spacing w:line="590" w:lineRule="exact"/>
        <w:ind w:firstLine="704"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spacing w:val="16"/>
          <w:sz w:val="32"/>
          <w:szCs w:val="32"/>
          <w:lang w:eastAsia="zh-CN"/>
        </w:rPr>
        <w:t>（一）发生转包、违法分包、出借资质资格、受到降低资质或被住建部门查处并移交的；</w:t>
      </w:r>
    </w:p>
    <w:p w14:paraId="02121C3A">
      <w:pPr>
        <w:pStyle w:val="3"/>
        <w:widowControl w:val="0"/>
        <w:kinsoku/>
        <w:spacing w:line="590" w:lineRule="exact"/>
        <w:ind w:firstLine="704"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spacing w:val="16"/>
          <w:sz w:val="32"/>
          <w:szCs w:val="32"/>
          <w:lang w:val="en-US" w:eastAsia="zh-CN"/>
        </w:rPr>
        <w:t>（二）</w:t>
      </w:r>
      <w:r>
        <w:rPr>
          <w:rFonts w:hint="eastAsia" w:ascii="仿宋_GB2312" w:hAnsi="仿宋_GB2312" w:eastAsia="仿宋_GB2312" w:cs="仿宋_GB2312"/>
          <w:spacing w:val="16"/>
          <w:sz w:val="32"/>
          <w:szCs w:val="32"/>
          <w:lang w:eastAsia="zh-CN"/>
        </w:rPr>
        <w:t>被取消一定期限内参加依法必须进行招标项目的投标资格的；</w:t>
      </w:r>
    </w:p>
    <w:p w14:paraId="343C2465">
      <w:pPr>
        <w:pStyle w:val="3"/>
        <w:widowControl w:val="0"/>
        <w:kinsoku/>
        <w:spacing w:line="590" w:lineRule="exact"/>
        <w:ind w:firstLine="704"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spacing w:val="16"/>
          <w:sz w:val="32"/>
          <w:szCs w:val="32"/>
          <w:lang w:val="en-US" w:eastAsia="zh-CN"/>
        </w:rPr>
        <w:t>（三）</w:t>
      </w:r>
      <w:r>
        <w:rPr>
          <w:rFonts w:hint="eastAsia" w:ascii="仿宋_GB2312" w:hAnsi="仿宋_GB2312" w:eastAsia="仿宋_GB2312" w:cs="仿宋_GB2312"/>
          <w:spacing w:val="16"/>
          <w:sz w:val="32"/>
          <w:szCs w:val="32"/>
          <w:lang w:eastAsia="zh-CN"/>
        </w:rPr>
        <w:t>受到责令停产停业或吊销资质证书、吊销安全生产许可证、吊销营业执照行政处罚的；</w:t>
      </w:r>
    </w:p>
    <w:p w14:paraId="491FF74F">
      <w:pPr>
        <w:pStyle w:val="3"/>
        <w:widowControl w:val="0"/>
        <w:kinsoku/>
        <w:spacing w:line="590" w:lineRule="exact"/>
        <w:ind w:firstLine="704"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spacing w:val="16"/>
          <w:sz w:val="32"/>
          <w:szCs w:val="32"/>
          <w:lang w:val="en-US" w:eastAsia="zh-CN"/>
        </w:rPr>
        <w:t>（四）</w:t>
      </w:r>
      <w:r>
        <w:rPr>
          <w:rFonts w:hint="eastAsia" w:ascii="仿宋_GB2312" w:hAnsi="仿宋_GB2312" w:eastAsia="仿宋_GB2312" w:cs="仿宋_GB2312"/>
          <w:spacing w:val="16"/>
          <w:sz w:val="32"/>
          <w:szCs w:val="32"/>
          <w:lang w:eastAsia="zh-CN"/>
        </w:rPr>
        <w:t>被人力资源社会保障主管部门列入拖欠农民工工资“异常名录”的；</w:t>
      </w:r>
    </w:p>
    <w:p w14:paraId="7405D60B">
      <w:pPr>
        <w:pStyle w:val="3"/>
        <w:widowControl w:val="0"/>
        <w:kinsoku/>
        <w:spacing w:line="590" w:lineRule="exact"/>
        <w:ind w:firstLine="704"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spacing w:val="16"/>
          <w:sz w:val="32"/>
          <w:szCs w:val="32"/>
          <w:lang w:val="en-US" w:eastAsia="zh-CN"/>
        </w:rPr>
        <w:t>（五）</w:t>
      </w:r>
      <w:r>
        <w:rPr>
          <w:rFonts w:hint="eastAsia" w:ascii="仿宋_GB2312" w:hAnsi="仿宋_GB2312" w:eastAsia="仿宋_GB2312" w:cs="仿宋_GB2312"/>
          <w:spacing w:val="16"/>
          <w:sz w:val="32"/>
          <w:szCs w:val="32"/>
          <w:lang w:eastAsia="zh-CN"/>
        </w:rPr>
        <w:t>发生重大及以上工程质量安全事故，或1年内累计发生2次及以上较大工程质量安全事故，或发生性质恶劣、危害性严重、社会影响大的较大工程质量安全事故，受到行政处罚的；</w:t>
      </w:r>
    </w:p>
    <w:p w14:paraId="56CF65C2">
      <w:pPr>
        <w:pStyle w:val="3"/>
        <w:widowControl w:val="0"/>
        <w:kinsoku/>
        <w:spacing w:line="590" w:lineRule="exact"/>
        <w:ind w:firstLine="704"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spacing w:val="16"/>
          <w:sz w:val="32"/>
          <w:szCs w:val="32"/>
          <w:lang w:val="en-US" w:eastAsia="zh-CN"/>
        </w:rPr>
        <w:t>（六）</w:t>
      </w:r>
      <w:r>
        <w:rPr>
          <w:rFonts w:hint="eastAsia" w:ascii="仿宋_GB2312" w:hAnsi="仿宋_GB2312" w:eastAsia="仿宋_GB2312" w:cs="仿宋_GB2312"/>
          <w:spacing w:val="16"/>
          <w:sz w:val="32"/>
          <w:szCs w:val="32"/>
          <w:lang w:eastAsia="zh-CN"/>
        </w:rPr>
        <w:t>未按规定采取控制措施、减少扬尘污染，且拒不改正的；</w:t>
      </w:r>
    </w:p>
    <w:p w14:paraId="38A14C69">
      <w:pPr>
        <w:pStyle w:val="3"/>
        <w:widowControl w:val="0"/>
        <w:kinsoku/>
        <w:spacing w:line="590" w:lineRule="exact"/>
        <w:ind w:firstLine="704"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spacing w:val="16"/>
          <w:sz w:val="32"/>
          <w:szCs w:val="32"/>
          <w:lang w:val="en-US" w:eastAsia="zh-CN"/>
        </w:rPr>
        <w:t>（七）</w:t>
      </w:r>
      <w:r>
        <w:rPr>
          <w:rFonts w:hint="eastAsia" w:ascii="仿宋_GB2312" w:hAnsi="仿宋_GB2312" w:eastAsia="仿宋_GB2312" w:cs="仿宋_GB2312"/>
          <w:spacing w:val="16"/>
          <w:sz w:val="32"/>
          <w:szCs w:val="32"/>
          <w:lang w:eastAsia="zh-CN"/>
        </w:rPr>
        <w:t>以暴力、威胁等方式拒绝、阻挠行政执法人员依法实施现场监督检查，或者拒不配合违法违规行为查处的；</w:t>
      </w:r>
    </w:p>
    <w:p w14:paraId="7C271C08">
      <w:pPr>
        <w:pStyle w:val="3"/>
        <w:widowControl w:val="0"/>
        <w:kinsoku/>
        <w:spacing w:line="590" w:lineRule="exact"/>
        <w:ind w:firstLine="704"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spacing w:val="16"/>
          <w:sz w:val="32"/>
          <w:szCs w:val="32"/>
          <w:lang w:val="en-US" w:eastAsia="zh-CN"/>
        </w:rPr>
        <w:t>（八）</w:t>
      </w:r>
      <w:r>
        <w:rPr>
          <w:rFonts w:hint="eastAsia" w:ascii="仿宋_GB2312" w:hAnsi="仿宋_GB2312" w:eastAsia="仿宋_GB2312" w:cs="仿宋_GB2312"/>
          <w:spacing w:val="16"/>
          <w:sz w:val="32"/>
          <w:szCs w:val="32"/>
          <w:lang w:eastAsia="zh-CN"/>
        </w:rPr>
        <w:t>提供的检测试样不满足符合性、真实性及代表性要求，不具有清晰的、不易脱落的唯一性标识、封志，填报虚假统计数据、信用信息数据的；</w:t>
      </w:r>
    </w:p>
    <w:p w14:paraId="1247B40E">
      <w:pPr>
        <w:pStyle w:val="3"/>
        <w:widowControl w:val="0"/>
        <w:kinsoku/>
        <w:spacing w:line="590" w:lineRule="exact"/>
        <w:ind w:firstLine="704"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spacing w:val="16"/>
          <w:sz w:val="32"/>
          <w:szCs w:val="32"/>
          <w:lang w:val="en-US" w:eastAsia="zh-CN"/>
        </w:rPr>
        <w:t>（九）</w:t>
      </w:r>
      <w:r>
        <w:rPr>
          <w:rFonts w:hint="eastAsia" w:ascii="仿宋_GB2312" w:hAnsi="仿宋_GB2312" w:eastAsia="仿宋_GB2312" w:cs="仿宋_GB2312"/>
          <w:spacing w:val="16"/>
          <w:sz w:val="32"/>
          <w:szCs w:val="32"/>
          <w:lang w:eastAsia="zh-CN"/>
        </w:rPr>
        <w:t>无正当理由，拒不履行行政处罚决定的；</w:t>
      </w:r>
    </w:p>
    <w:p w14:paraId="0DB8138E">
      <w:pPr>
        <w:pStyle w:val="3"/>
        <w:widowControl w:val="0"/>
        <w:kinsoku/>
        <w:spacing w:line="590" w:lineRule="exact"/>
        <w:ind w:firstLine="704"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spacing w:val="16"/>
          <w:sz w:val="32"/>
          <w:szCs w:val="32"/>
          <w:lang w:eastAsia="zh-CN"/>
        </w:rPr>
        <w:t>（十）法律、法规规定的与工程建设活动相关的其他违法违规行为。</w:t>
      </w:r>
    </w:p>
    <w:p w14:paraId="4177C25A">
      <w:pPr>
        <w:widowControl w:val="0"/>
        <w:kinsoku/>
        <w:spacing w:line="590" w:lineRule="exact"/>
        <w:jc w:val="center"/>
        <w:rPr>
          <w:rFonts w:ascii="黑体" w:hAnsi="黑体" w:eastAsia="黑体" w:cs="黑体"/>
          <w:spacing w:val="3"/>
          <w:sz w:val="32"/>
          <w:szCs w:val="32"/>
          <w:lang w:eastAsia="zh-CN"/>
        </w:rPr>
      </w:pPr>
      <w:r>
        <w:rPr>
          <w:rFonts w:hint="eastAsia" w:ascii="黑体" w:hAnsi="黑体" w:eastAsia="黑体" w:cs="黑体"/>
          <w:spacing w:val="3"/>
          <w:sz w:val="32"/>
          <w:szCs w:val="32"/>
          <w:lang w:eastAsia="zh-CN"/>
        </w:rPr>
        <w:t>第五章 评价结果运用</w:t>
      </w:r>
    </w:p>
    <w:p w14:paraId="3BDAF241">
      <w:pPr>
        <w:pStyle w:val="3"/>
        <w:widowControl w:val="0"/>
        <w:kinsoku/>
        <w:spacing w:line="590" w:lineRule="exact"/>
        <w:ind w:firstLine="643"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b/>
          <w:bCs/>
          <w:snapToGrid/>
          <w:spacing w:val="0"/>
          <w:kern w:val="2"/>
          <w:sz w:val="32"/>
          <w:szCs w:val="32"/>
          <w:shd w:val="clear" w:color="auto" w:fill="FFFFFF"/>
          <w:lang w:eastAsia="zh-CN"/>
        </w:rPr>
        <w:t>第十一条</w:t>
      </w:r>
      <w:r>
        <w:rPr>
          <w:rFonts w:hint="eastAsia" w:ascii="仿宋_GB2312" w:hAnsi="仿宋_GB2312" w:eastAsia="仿宋_GB2312" w:cs="仿宋_GB2312"/>
          <w:b/>
          <w:bCs/>
          <w:snapToGrid/>
          <w:spacing w:val="0"/>
          <w:kern w:val="2"/>
          <w:sz w:val="32"/>
          <w:szCs w:val="32"/>
          <w:shd w:val="clear" w:color="auto" w:fill="FFFFFF"/>
          <w:lang w:val="en-US" w:eastAsia="zh-CN"/>
        </w:rPr>
        <w:t xml:space="preserve">  </w:t>
      </w:r>
      <w:r>
        <w:rPr>
          <w:rFonts w:hint="eastAsia" w:ascii="仿宋_GB2312" w:hAnsi="仿宋_GB2312" w:eastAsia="仿宋_GB2312" w:cs="仿宋_GB2312"/>
          <w:spacing w:val="16"/>
          <w:sz w:val="32"/>
          <w:szCs w:val="32"/>
          <w:lang w:eastAsia="zh-CN"/>
        </w:rPr>
        <w:t>亳州市建筑业企业信用评价以亳州市住房和城乡建设局网站对外公布的结果为准。</w:t>
      </w:r>
      <w:r>
        <w:rPr>
          <w:rFonts w:hint="eastAsia" w:ascii="仿宋_GB2312" w:hAnsi="仿宋_GB2312" w:eastAsia="仿宋_GB2312" w:cs="仿宋_GB2312"/>
          <w:snapToGrid/>
          <w:kern w:val="2"/>
          <w:sz w:val="32"/>
          <w:szCs w:val="32"/>
          <w:shd w:val="clear" w:color="auto" w:fill="FFFFFF"/>
          <w:lang w:eastAsia="zh-CN"/>
        </w:rPr>
        <w:t>建筑业企业对本企业信用评定结果存在异议的，可在信用评定结果公布</w:t>
      </w:r>
      <w:r>
        <w:rPr>
          <w:rFonts w:hint="eastAsia" w:ascii="仿宋_GB2312" w:hAnsi="仿宋_GB2312" w:eastAsia="仿宋_GB2312" w:cs="仿宋_GB2312"/>
          <w:snapToGrid/>
          <w:kern w:val="2"/>
          <w:sz w:val="32"/>
          <w:szCs w:val="32"/>
          <w:shd w:val="clear" w:color="auto" w:fill="FFFFFF"/>
          <w:lang w:val="en-US" w:eastAsia="zh-CN"/>
        </w:rPr>
        <w:t>7</w:t>
      </w:r>
      <w:r>
        <w:rPr>
          <w:rFonts w:hint="eastAsia" w:ascii="仿宋_GB2312" w:hAnsi="仿宋_GB2312" w:eastAsia="仿宋_GB2312" w:cs="仿宋_GB2312"/>
          <w:snapToGrid/>
          <w:kern w:val="2"/>
          <w:sz w:val="32"/>
          <w:szCs w:val="32"/>
          <w:shd w:val="clear" w:color="auto" w:fill="FFFFFF"/>
          <w:lang w:eastAsia="zh-CN"/>
        </w:rPr>
        <w:t>个工作日内向市住房和城乡建设局提出陈述、申辩，并提交书面理由，查证属实的，予以变更。</w:t>
      </w:r>
    </w:p>
    <w:p w14:paraId="20FBFD28">
      <w:pPr>
        <w:pStyle w:val="3"/>
        <w:widowControl w:val="0"/>
        <w:kinsoku/>
        <w:spacing w:line="590" w:lineRule="exact"/>
        <w:ind w:firstLine="643" w:firstLineChars="200"/>
        <w:jc w:val="both"/>
        <w:rPr>
          <w:rFonts w:ascii="仿宋_GB2312" w:hAnsi="仿宋_GB2312" w:eastAsia="仿宋_GB2312" w:cs="仿宋_GB2312"/>
          <w:color w:val="auto"/>
          <w:spacing w:val="16"/>
          <w:sz w:val="32"/>
          <w:szCs w:val="32"/>
          <w:lang w:eastAsia="zh-CN"/>
        </w:rPr>
      </w:pPr>
      <w:r>
        <w:rPr>
          <w:rFonts w:hint="eastAsia" w:ascii="仿宋_GB2312" w:hAnsi="仿宋_GB2312" w:eastAsia="仿宋_GB2312" w:cs="仿宋_GB2312"/>
          <w:b/>
          <w:bCs/>
          <w:snapToGrid/>
          <w:spacing w:val="0"/>
          <w:kern w:val="2"/>
          <w:sz w:val="32"/>
          <w:szCs w:val="32"/>
          <w:shd w:val="clear" w:color="auto" w:fill="FFFFFF"/>
          <w:lang w:eastAsia="zh-CN"/>
        </w:rPr>
        <w:t>第十二条</w:t>
      </w:r>
      <w:r>
        <w:rPr>
          <w:rFonts w:hint="eastAsia" w:ascii="仿宋_GB2312" w:hAnsi="仿宋_GB2312" w:eastAsia="仿宋_GB2312" w:cs="仿宋_GB2312"/>
          <w:b/>
          <w:bCs/>
          <w:snapToGrid/>
          <w:spacing w:val="0"/>
          <w:kern w:val="2"/>
          <w:sz w:val="32"/>
          <w:szCs w:val="32"/>
          <w:shd w:val="clear" w:color="auto" w:fill="FFFFFF"/>
          <w:lang w:val="en-US" w:eastAsia="zh-CN"/>
        </w:rPr>
        <w:t xml:space="preserve">  </w:t>
      </w:r>
      <w:r>
        <w:rPr>
          <w:rFonts w:hint="eastAsia" w:ascii="仿宋_GB2312" w:hAnsi="仿宋_GB2312" w:eastAsia="仿宋_GB2312" w:cs="仿宋_GB2312"/>
          <w:color w:val="auto"/>
          <w:spacing w:val="16"/>
          <w:sz w:val="32"/>
          <w:szCs w:val="32"/>
          <w:lang w:eastAsia="zh-CN"/>
        </w:rPr>
        <w:t>使用国有资金投资或国有资金占主导地位的建设工程项目，鼓励建设单位应在招标文件技术标中增加企业信用分的相关内容；采用“评定分离”方式进行招标的工程建设项目，建议企业的信用分作为项目定标的主要依据之一。</w:t>
      </w:r>
    </w:p>
    <w:p w14:paraId="78FCC868">
      <w:pPr>
        <w:pStyle w:val="3"/>
        <w:widowControl w:val="0"/>
        <w:kinsoku/>
        <w:spacing w:line="590" w:lineRule="exact"/>
        <w:ind w:firstLine="643" w:firstLineChars="200"/>
        <w:jc w:val="both"/>
        <w:rPr>
          <w:rFonts w:hint="eastAsia" w:ascii="仿宋_GB2312" w:hAnsi="仿宋_GB2312" w:eastAsia="仿宋_GB2312" w:cs="仿宋_GB2312"/>
          <w:spacing w:val="16"/>
          <w:sz w:val="32"/>
          <w:szCs w:val="32"/>
          <w:lang w:eastAsia="zh-CN"/>
        </w:rPr>
      </w:pPr>
      <w:r>
        <w:rPr>
          <w:rFonts w:hint="eastAsia" w:ascii="仿宋_GB2312" w:hAnsi="仿宋_GB2312" w:eastAsia="仿宋_GB2312" w:cs="仿宋_GB2312"/>
          <w:b/>
          <w:bCs/>
          <w:snapToGrid/>
          <w:spacing w:val="0"/>
          <w:kern w:val="2"/>
          <w:sz w:val="32"/>
          <w:szCs w:val="32"/>
          <w:shd w:val="clear" w:color="auto" w:fill="FFFFFF"/>
          <w:lang w:eastAsia="zh-CN"/>
        </w:rPr>
        <w:t>第十三条</w:t>
      </w:r>
      <w:r>
        <w:rPr>
          <w:rFonts w:hint="eastAsia" w:ascii="仿宋_GB2312" w:hAnsi="仿宋_GB2312" w:eastAsia="仿宋_GB2312" w:cs="仿宋_GB2312"/>
          <w:b/>
          <w:bCs/>
          <w:snapToGrid/>
          <w:spacing w:val="0"/>
          <w:kern w:val="2"/>
          <w:sz w:val="32"/>
          <w:szCs w:val="32"/>
          <w:shd w:val="clear" w:color="auto" w:fill="FFFFFF"/>
          <w:lang w:val="en-US" w:eastAsia="zh-CN"/>
        </w:rPr>
        <w:t xml:space="preserve">  </w:t>
      </w:r>
      <w:r>
        <w:rPr>
          <w:rFonts w:hint="eastAsia" w:ascii="仿宋_GB2312" w:hAnsi="仿宋_GB2312" w:eastAsia="仿宋_GB2312" w:cs="仿宋_GB2312"/>
          <w:spacing w:val="16"/>
          <w:sz w:val="32"/>
          <w:szCs w:val="32"/>
          <w:lang w:eastAsia="zh-CN"/>
        </w:rPr>
        <w:t>市、县（区）住建主管部门应当根据建筑业企业信用评定结果在市场准入、资质核查、日常监管、工程保险、专项督察、评先评优、</w:t>
      </w:r>
      <w:r>
        <w:rPr>
          <w:rStyle w:val="10"/>
          <w:rFonts w:hint="eastAsia" w:ascii="仿宋_GB2312" w:hAnsi="仿宋_GB2312" w:eastAsia="仿宋_GB2312" w:cs="仿宋_GB2312"/>
          <w:i w:val="0"/>
          <w:color w:val="000000" w:themeColor="text1"/>
          <w:sz w:val="32"/>
          <w:szCs w:val="32"/>
          <w:shd w:val="clear" w:color="auto" w:fill="FFFFFF"/>
          <w:lang w:eastAsia="zh-CN"/>
          <w14:textFill>
            <w14:solidFill>
              <w14:schemeClr w14:val="tx1"/>
            </w14:solidFill>
          </w14:textFill>
        </w:rPr>
        <w:t>搭建合作交流平台</w:t>
      </w:r>
      <w:r>
        <w:rPr>
          <w:rFonts w:hint="eastAsia" w:ascii="仿宋_GB2312" w:hAnsi="仿宋_GB2312" w:eastAsia="仿宋_GB2312" w:cs="仿宋_GB2312"/>
          <w:spacing w:val="16"/>
          <w:sz w:val="32"/>
          <w:szCs w:val="32"/>
          <w:lang w:eastAsia="zh-CN"/>
        </w:rPr>
        <w:t>等环节对建筑业企业实行差异化管理。</w:t>
      </w:r>
    </w:p>
    <w:p w14:paraId="64151D6E">
      <w:pPr>
        <w:pStyle w:val="3"/>
        <w:widowControl w:val="0"/>
        <w:kinsoku/>
        <w:spacing w:line="590" w:lineRule="exact"/>
        <w:ind w:firstLine="643" w:firstLineChars="200"/>
        <w:jc w:val="both"/>
        <w:rPr>
          <w:rFonts w:hint="eastAsia" w:ascii="仿宋_GB2312" w:hAnsi="仿宋_GB2312" w:eastAsia="仿宋_GB2312" w:cs="仿宋_GB2312"/>
          <w:color w:val="0000FF"/>
          <w:spacing w:val="16"/>
          <w:sz w:val="32"/>
          <w:szCs w:val="32"/>
          <w:lang w:eastAsia="zh-CN"/>
        </w:rPr>
      </w:pPr>
      <w:r>
        <w:rPr>
          <w:rFonts w:hint="eastAsia" w:ascii="仿宋_GB2312" w:hAnsi="仿宋_GB2312" w:eastAsia="仿宋_GB2312" w:cs="仿宋_GB2312"/>
          <w:b/>
          <w:bCs/>
          <w:snapToGrid/>
          <w:color w:val="000000"/>
          <w:spacing w:val="0"/>
          <w:kern w:val="2"/>
          <w:sz w:val="32"/>
          <w:szCs w:val="32"/>
          <w:shd w:val="clear" w:color="auto" w:fill="FFFFFF"/>
          <w:lang w:eastAsia="zh-CN"/>
        </w:rPr>
        <w:t>第十四条</w:t>
      </w:r>
      <w:r>
        <w:rPr>
          <w:rFonts w:hint="eastAsia" w:ascii="仿宋_GB2312" w:hAnsi="仿宋_GB2312" w:eastAsia="仿宋_GB2312" w:cs="仿宋_GB2312"/>
          <w:b/>
          <w:bCs/>
          <w:snapToGrid/>
          <w:color w:val="000000"/>
          <w:spacing w:val="0"/>
          <w:kern w:val="2"/>
          <w:sz w:val="32"/>
          <w:szCs w:val="32"/>
          <w:shd w:val="clear" w:color="auto" w:fill="FFFFFF"/>
          <w:lang w:val="en-US" w:eastAsia="zh-CN"/>
        </w:rPr>
        <w:t xml:space="preserve">  </w:t>
      </w:r>
      <w:r>
        <w:rPr>
          <w:rFonts w:hint="eastAsia" w:ascii="仿宋_GB2312" w:hAnsi="仿宋_GB2312" w:eastAsia="仿宋_GB2312" w:cs="仿宋_GB2312"/>
          <w:color w:val="000000"/>
          <w:spacing w:val="16"/>
          <w:sz w:val="32"/>
          <w:szCs w:val="32"/>
          <w:lang w:eastAsia="zh-CN"/>
        </w:rPr>
        <w:t>对信用考核为D级的信用主体实行惩戒机制，以重点防范为主，并将其列为重点监管对象。</w:t>
      </w:r>
    </w:p>
    <w:p w14:paraId="0B35F8A5">
      <w:pPr>
        <w:pStyle w:val="3"/>
        <w:widowControl w:val="0"/>
        <w:kinsoku/>
        <w:spacing w:line="590" w:lineRule="exact"/>
        <w:ind w:firstLine="704" w:firstLineChars="200"/>
        <w:jc w:val="both"/>
        <w:rPr>
          <w:rFonts w:hint="eastAsia" w:ascii="仿宋_GB2312" w:hAnsi="仿宋_GB2312" w:eastAsia="仿宋_GB2312" w:cs="仿宋_GB2312"/>
          <w:color w:val="000000"/>
          <w:spacing w:val="16"/>
          <w:sz w:val="32"/>
          <w:szCs w:val="32"/>
          <w:lang w:eastAsia="zh-CN"/>
        </w:rPr>
      </w:pPr>
      <w:r>
        <w:rPr>
          <w:rFonts w:hint="eastAsia" w:ascii="仿宋_GB2312" w:hAnsi="仿宋_GB2312" w:eastAsia="仿宋_GB2312" w:cs="仿宋_GB2312"/>
          <w:color w:val="000000"/>
          <w:spacing w:val="16"/>
          <w:sz w:val="32"/>
          <w:szCs w:val="32"/>
          <w:lang w:eastAsia="zh-CN"/>
        </w:rPr>
        <w:t>（一）在非国有投资项目中，自信用考核结果发布之日起，一年内建设单位应禁止选用D级企业参与工程建设活动；</w:t>
      </w:r>
    </w:p>
    <w:p w14:paraId="183BF3AF">
      <w:pPr>
        <w:pStyle w:val="3"/>
        <w:widowControl w:val="0"/>
        <w:kinsoku/>
        <w:spacing w:line="590" w:lineRule="exact"/>
        <w:ind w:firstLine="704" w:firstLineChars="200"/>
        <w:jc w:val="both"/>
        <w:rPr>
          <w:rFonts w:hint="eastAsia" w:ascii="仿宋_GB2312" w:hAnsi="仿宋_GB2312" w:eastAsia="仿宋_GB2312" w:cs="仿宋_GB2312"/>
          <w:color w:val="000000"/>
          <w:spacing w:val="16"/>
          <w:sz w:val="32"/>
          <w:szCs w:val="32"/>
          <w:lang w:eastAsia="zh-CN"/>
        </w:rPr>
      </w:pPr>
      <w:r>
        <w:rPr>
          <w:rFonts w:hint="eastAsia" w:ascii="仿宋_GB2312" w:hAnsi="仿宋_GB2312" w:eastAsia="仿宋_GB2312" w:cs="仿宋_GB2312"/>
          <w:color w:val="000000"/>
          <w:spacing w:val="16"/>
          <w:sz w:val="32"/>
          <w:szCs w:val="32"/>
          <w:lang w:eastAsia="zh-CN"/>
        </w:rPr>
        <w:t>（二）对企业法定代表人和相关责任人进行强制性建设法律、法规培训；</w:t>
      </w:r>
    </w:p>
    <w:p w14:paraId="109C1D5C">
      <w:pPr>
        <w:pStyle w:val="3"/>
        <w:widowControl w:val="0"/>
        <w:kinsoku/>
        <w:spacing w:line="590" w:lineRule="exact"/>
        <w:ind w:firstLine="704" w:firstLineChars="200"/>
        <w:jc w:val="both"/>
        <w:rPr>
          <w:rFonts w:hint="eastAsia" w:ascii="仿宋_GB2312" w:hAnsi="仿宋_GB2312" w:eastAsia="仿宋_GB2312" w:cs="仿宋_GB2312"/>
          <w:color w:val="000000"/>
          <w:spacing w:val="16"/>
          <w:sz w:val="32"/>
          <w:szCs w:val="32"/>
          <w:lang w:eastAsia="zh-CN"/>
        </w:rPr>
      </w:pPr>
      <w:r>
        <w:rPr>
          <w:rFonts w:hint="eastAsia" w:ascii="仿宋_GB2312" w:hAnsi="仿宋_GB2312" w:eastAsia="仿宋_GB2312" w:cs="仿宋_GB2312"/>
          <w:color w:val="000000"/>
          <w:spacing w:val="16"/>
          <w:sz w:val="32"/>
          <w:szCs w:val="32"/>
          <w:lang w:eastAsia="zh-CN"/>
        </w:rPr>
        <w:t>（三）自信用考核结果发布之日起，一年内不受理企业资质升级、增项；</w:t>
      </w:r>
    </w:p>
    <w:p w14:paraId="67752446">
      <w:pPr>
        <w:pStyle w:val="3"/>
        <w:widowControl w:val="0"/>
        <w:kinsoku/>
        <w:spacing w:line="590" w:lineRule="exact"/>
        <w:ind w:firstLine="704" w:firstLineChars="200"/>
        <w:jc w:val="both"/>
        <w:rPr>
          <w:rFonts w:hint="eastAsia" w:ascii="仿宋_GB2312" w:hAnsi="仿宋_GB2312" w:eastAsia="仿宋_GB2312" w:cs="仿宋_GB2312"/>
          <w:color w:val="000000"/>
          <w:spacing w:val="16"/>
          <w:sz w:val="32"/>
          <w:szCs w:val="32"/>
          <w:lang w:eastAsia="zh-CN"/>
        </w:rPr>
      </w:pPr>
      <w:r>
        <w:rPr>
          <w:rFonts w:hint="eastAsia" w:ascii="仿宋_GB2312" w:hAnsi="仿宋_GB2312" w:eastAsia="仿宋_GB2312" w:cs="仿宋_GB2312"/>
          <w:color w:val="000000"/>
          <w:spacing w:val="16"/>
          <w:sz w:val="32"/>
          <w:szCs w:val="32"/>
          <w:lang w:eastAsia="zh-CN"/>
        </w:rPr>
        <w:t>（四）连续三年考核结果为D级企业的，建议原发证机关依法撤回或吊销其资质证书。</w:t>
      </w:r>
    </w:p>
    <w:p w14:paraId="00FF746D">
      <w:pPr>
        <w:pStyle w:val="3"/>
        <w:widowControl w:val="0"/>
        <w:kinsoku/>
        <w:spacing w:line="590" w:lineRule="exact"/>
        <w:ind w:firstLine="704" w:firstLineChars="200"/>
        <w:jc w:val="both"/>
        <w:rPr>
          <w:rFonts w:hint="eastAsia" w:ascii="仿宋_GB2312" w:hAnsi="仿宋_GB2312" w:eastAsia="仿宋_GB2312" w:cs="仿宋_GB2312"/>
          <w:color w:val="000000"/>
          <w:spacing w:val="16"/>
          <w:sz w:val="32"/>
          <w:szCs w:val="32"/>
          <w:lang w:eastAsia="zh-CN"/>
        </w:rPr>
      </w:pPr>
      <w:r>
        <w:rPr>
          <w:rFonts w:hint="eastAsia" w:ascii="仿宋_GB2312" w:hAnsi="仿宋_GB2312" w:eastAsia="仿宋_GB2312" w:cs="仿宋_GB2312"/>
          <w:color w:val="000000"/>
          <w:spacing w:val="16"/>
          <w:sz w:val="32"/>
          <w:szCs w:val="32"/>
          <w:lang w:eastAsia="zh-CN"/>
        </w:rPr>
        <w:t>（五）其承建的工程项目在办理施工许可相关事项时不再适用告知承诺的审批方式。</w:t>
      </w:r>
    </w:p>
    <w:p w14:paraId="04909612">
      <w:pPr>
        <w:widowControl w:val="0"/>
        <w:kinsoku/>
        <w:spacing w:line="590" w:lineRule="exact"/>
        <w:jc w:val="center"/>
        <w:rPr>
          <w:rFonts w:ascii="黑体" w:hAnsi="黑体" w:eastAsia="黑体" w:cs="黑体"/>
          <w:spacing w:val="3"/>
          <w:sz w:val="32"/>
          <w:szCs w:val="32"/>
          <w:lang w:eastAsia="zh-CN"/>
        </w:rPr>
      </w:pPr>
      <w:r>
        <w:rPr>
          <w:rFonts w:hint="eastAsia" w:ascii="黑体" w:hAnsi="黑体" w:eastAsia="黑体" w:cs="黑体"/>
          <w:spacing w:val="3"/>
          <w:sz w:val="32"/>
          <w:szCs w:val="32"/>
          <w:lang w:eastAsia="zh-CN"/>
        </w:rPr>
        <w:t>第六章 监督管理</w:t>
      </w:r>
    </w:p>
    <w:p w14:paraId="291D582F">
      <w:pPr>
        <w:pStyle w:val="3"/>
        <w:widowControl w:val="0"/>
        <w:kinsoku/>
        <w:spacing w:line="590" w:lineRule="exact"/>
        <w:ind w:firstLine="643"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b/>
          <w:bCs/>
          <w:snapToGrid/>
          <w:spacing w:val="0"/>
          <w:kern w:val="2"/>
          <w:sz w:val="32"/>
          <w:szCs w:val="32"/>
          <w:shd w:val="clear" w:color="auto" w:fill="FFFFFF"/>
          <w:lang w:eastAsia="zh-CN"/>
        </w:rPr>
        <w:t>第十五条</w:t>
      </w:r>
      <w:r>
        <w:rPr>
          <w:rFonts w:hint="eastAsia" w:ascii="仿宋_GB2312" w:hAnsi="仿宋_GB2312" w:eastAsia="仿宋_GB2312" w:cs="仿宋_GB2312"/>
          <w:spacing w:val="4"/>
          <w:lang w:eastAsia="zh-CN"/>
          <w14:textOutline w14:w="5791" w14:cap="sq" w14:cmpd="sng" w14:algn="ctr">
            <w14:solidFill>
              <w14:srgbClr w14:val="000000"/>
            </w14:solidFill>
            <w14:prstDash w14:val="solid"/>
            <w14:bevel/>
          </w14:textOutline>
        </w:rPr>
        <w:t xml:space="preserve"> </w:t>
      </w:r>
      <w:r>
        <w:rPr>
          <w:rFonts w:hint="eastAsia" w:ascii="仿宋_GB2312" w:hAnsi="仿宋_GB2312" w:eastAsia="仿宋_GB2312" w:cs="仿宋_GB2312"/>
          <w:spacing w:val="16"/>
          <w:sz w:val="32"/>
          <w:szCs w:val="32"/>
          <w:lang w:eastAsia="zh-CN"/>
        </w:rPr>
        <w:t>建筑业企业在信用信息的录入、申报工作中应当诚实守信，保证信用信息的真实性，有虚报、漏报、瞒报本企业信用信息或其他不正当行为的，可视具体情况，由查实的住建部门予以加倍扣分和通报。</w:t>
      </w:r>
    </w:p>
    <w:p w14:paraId="31929ED4">
      <w:pPr>
        <w:pStyle w:val="3"/>
        <w:widowControl w:val="0"/>
        <w:kinsoku/>
        <w:spacing w:line="590" w:lineRule="exact"/>
        <w:ind w:firstLine="643"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b/>
          <w:bCs/>
          <w:snapToGrid/>
          <w:spacing w:val="0"/>
          <w:kern w:val="2"/>
          <w:sz w:val="32"/>
          <w:szCs w:val="32"/>
          <w:shd w:val="clear" w:color="auto" w:fill="FFFFFF"/>
          <w:lang w:eastAsia="zh-CN"/>
        </w:rPr>
        <w:t>第十六条</w:t>
      </w:r>
      <w:r>
        <w:rPr>
          <w:rFonts w:hint="eastAsia" w:ascii="仿宋_GB2312" w:hAnsi="仿宋_GB2312" w:eastAsia="仿宋_GB2312" w:cs="仿宋_GB2312"/>
          <w:spacing w:val="4"/>
          <w:lang w:eastAsia="zh-CN"/>
          <w14:textOutline w14:w="5791" w14:cap="sq" w14:cmpd="sng" w14:algn="ctr">
            <w14:solidFill>
              <w14:srgbClr w14:val="000000"/>
            </w14:solidFill>
            <w14:prstDash w14:val="solid"/>
            <w14:bevel/>
          </w14:textOutline>
        </w:rPr>
        <w:t xml:space="preserve"> </w:t>
      </w:r>
      <w:r>
        <w:rPr>
          <w:rFonts w:hint="eastAsia" w:ascii="仿宋_GB2312" w:hAnsi="仿宋_GB2312" w:eastAsia="仿宋_GB2312" w:cs="仿宋_GB2312"/>
          <w:spacing w:val="16"/>
          <w:sz w:val="32"/>
          <w:szCs w:val="32"/>
          <w:lang w:eastAsia="zh-CN"/>
        </w:rPr>
        <w:t>市、县（区）住建主管部门在建筑业企业信用信息采集、审核、评定工作中，应当做到公开、公平、公正；在日常工作中，应当对照信用评价标准，做到全面监督检查、准确定性行为、及时审核信息，引导建筑业企业依法诚信经营。</w:t>
      </w:r>
    </w:p>
    <w:p w14:paraId="6EB511C1">
      <w:pPr>
        <w:widowControl w:val="0"/>
        <w:kinsoku/>
        <w:spacing w:line="590" w:lineRule="exact"/>
        <w:jc w:val="center"/>
        <w:rPr>
          <w:rFonts w:ascii="黑体" w:hAnsi="黑体" w:eastAsia="黑体" w:cs="黑体"/>
          <w:spacing w:val="3"/>
          <w:sz w:val="32"/>
          <w:szCs w:val="32"/>
          <w:lang w:eastAsia="zh-CN"/>
        </w:rPr>
      </w:pPr>
      <w:r>
        <w:rPr>
          <w:rFonts w:hint="eastAsia" w:ascii="黑体" w:hAnsi="黑体" w:eastAsia="黑体" w:cs="黑体"/>
          <w:spacing w:val="3"/>
          <w:sz w:val="32"/>
          <w:szCs w:val="32"/>
          <w:lang w:eastAsia="zh-CN"/>
        </w:rPr>
        <w:t>第七章 附则</w:t>
      </w:r>
    </w:p>
    <w:p w14:paraId="5C710459">
      <w:pPr>
        <w:pStyle w:val="3"/>
        <w:widowControl w:val="0"/>
        <w:kinsoku/>
        <w:spacing w:line="590" w:lineRule="exact"/>
        <w:ind w:firstLine="643"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b/>
          <w:bCs/>
          <w:snapToGrid/>
          <w:spacing w:val="0"/>
          <w:kern w:val="2"/>
          <w:sz w:val="32"/>
          <w:szCs w:val="32"/>
          <w:shd w:val="clear" w:color="auto" w:fill="FFFFFF"/>
          <w:lang w:eastAsia="zh-CN"/>
        </w:rPr>
        <w:t>第十七条</w:t>
      </w:r>
      <w:r>
        <w:rPr>
          <w:rFonts w:hint="eastAsia" w:ascii="仿宋_GB2312" w:hAnsi="仿宋_GB2312" w:eastAsia="仿宋_GB2312" w:cs="仿宋_GB2312"/>
          <w:spacing w:val="4"/>
          <w:sz w:val="32"/>
          <w:szCs w:val="32"/>
          <w:lang w:eastAsia="zh-CN"/>
          <w14:textOutline w14:w="5791" w14:cap="sq" w14:cmpd="sng" w14:algn="ctr">
            <w14:solidFill>
              <w14:srgbClr w14:val="000000"/>
            </w14:solidFill>
            <w14:prstDash w14:val="solid"/>
            <w14:bevel/>
          </w14:textOutline>
        </w:rPr>
        <w:t xml:space="preserve"> </w:t>
      </w:r>
      <w:r>
        <w:rPr>
          <w:rFonts w:hint="eastAsia" w:ascii="仿宋_GB2312" w:hAnsi="仿宋_GB2312" w:eastAsia="仿宋_GB2312" w:cs="仿宋_GB2312"/>
          <w:spacing w:val="16"/>
          <w:sz w:val="32"/>
          <w:szCs w:val="32"/>
          <w:lang w:eastAsia="zh-CN"/>
        </w:rPr>
        <w:t>本办法由市住房和城乡建设局负责解释。</w:t>
      </w:r>
    </w:p>
    <w:p w14:paraId="7DEA9660">
      <w:pPr>
        <w:pStyle w:val="3"/>
        <w:widowControl w:val="0"/>
        <w:kinsoku/>
        <w:spacing w:line="590" w:lineRule="exact"/>
        <w:ind w:firstLine="643" w:firstLineChars="200"/>
        <w:jc w:val="both"/>
        <w:rPr>
          <w:rFonts w:ascii="仿宋_GB2312" w:hAnsi="仿宋_GB2312" w:eastAsia="仿宋_GB2312" w:cs="仿宋_GB2312"/>
          <w:spacing w:val="16"/>
          <w:sz w:val="32"/>
          <w:szCs w:val="32"/>
          <w:lang w:eastAsia="zh-CN"/>
        </w:rPr>
      </w:pPr>
      <w:r>
        <w:rPr>
          <w:rFonts w:hint="eastAsia" w:ascii="仿宋_GB2312" w:hAnsi="仿宋_GB2312" w:eastAsia="仿宋_GB2312" w:cs="仿宋_GB2312"/>
          <w:b/>
          <w:bCs/>
          <w:snapToGrid/>
          <w:spacing w:val="0"/>
          <w:kern w:val="2"/>
          <w:sz w:val="32"/>
          <w:szCs w:val="32"/>
          <w:shd w:val="clear" w:color="auto" w:fill="FFFFFF"/>
          <w:lang w:eastAsia="zh-CN"/>
        </w:rPr>
        <w:t>第十八条</w:t>
      </w:r>
      <w:r>
        <w:rPr>
          <w:rFonts w:hint="eastAsia" w:ascii="仿宋_GB2312" w:hAnsi="仿宋_GB2312" w:eastAsia="仿宋_GB2312" w:cs="仿宋_GB2312"/>
          <w:spacing w:val="4"/>
          <w:lang w:eastAsia="zh-CN"/>
          <w14:textOutline w14:w="5791" w14:cap="sq" w14:cmpd="sng" w14:algn="ctr">
            <w14:solidFill>
              <w14:srgbClr w14:val="000000"/>
            </w14:solidFill>
            <w14:prstDash w14:val="solid"/>
            <w14:bevel/>
          </w14:textOutline>
        </w:rPr>
        <w:t xml:space="preserve"> </w:t>
      </w:r>
      <w:r>
        <w:rPr>
          <w:rFonts w:hint="eastAsia" w:ascii="仿宋_GB2312" w:hAnsi="仿宋_GB2312" w:eastAsia="仿宋_GB2312" w:cs="仿宋_GB2312"/>
          <w:spacing w:val="16"/>
          <w:sz w:val="32"/>
          <w:szCs w:val="32"/>
          <w:lang w:eastAsia="zh-CN"/>
        </w:rPr>
        <w:t>本办法实施后，将结合应用实际情况，不定期对信用考核内容和计分方法进行优化调整。</w:t>
      </w:r>
    </w:p>
    <w:p w14:paraId="747EC2B7">
      <w:pPr>
        <w:pStyle w:val="3"/>
        <w:widowControl w:val="0"/>
        <w:kinsoku/>
        <w:spacing w:line="590" w:lineRule="exact"/>
        <w:ind w:firstLine="707" w:firstLineChars="200"/>
        <w:jc w:val="both"/>
        <w:rPr>
          <w:rFonts w:ascii="仿宋_GB2312" w:hAnsi="仿宋_GB2312" w:eastAsia="仿宋_GB2312" w:cs="仿宋_GB2312"/>
          <w:b/>
          <w:spacing w:val="16"/>
          <w:sz w:val="32"/>
          <w:szCs w:val="32"/>
          <w:lang w:eastAsia="zh-CN"/>
        </w:rPr>
      </w:pPr>
    </w:p>
    <w:p w14:paraId="0AE9EC8D">
      <w:pPr>
        <w:pStyle w:val="3"/>
        <w:widowControl w:val="0"/>
        <w:kinsoku/>
        <w:spacing w:line="590" w:lineRule="exact"/>
        <w:ind w:firstLine="704" w:firstLineChars="200"/>
        <w:jc w:val="both"/>
        <w:rPr>
          <w:rFonts w:eastAsiaTheme="minorEastAsia"/>
          <w:sz w:val="32"/>
          <w:szCs w:val="32"/>
          <w:lang w:eastAsia="zh-CN"/>
        </w:rPr>
      </w:pPr>
      <w:r>
        <w:rPr>
          <w:rFonts w:hint="eastAsia" w:ascii="仿宋_GB2312" w:hAnsi="仿宋_GB2312" w:eastAsia="仿宋_GB2312" w:cs="仿宋_GB2312"/>
          <w:bCs/>
          <w:spacing w:val="16"/>
          <w:sz w:val="32"/>
          <w:szCs w:val="32"/>
          <w:lang w:eastAsia="zh-CN"/>
        </w:rPr>
        <w:t>附件：亳州市建筑业企业信用评价计分标准</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楷体">
    <w:altName w:val="宋体"/>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79A0B">
    <w:pPr>
      <w:pStyle w:val="5"/>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9F048C">
                          <w:pPr>
                            <w:pStyle w:val="5"/>
                          </w:pPr>
                          <w:r>
                            <w:t>—</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09F048C">
                    <w:pPr>
                      <w:pStyle w:val="5"/>
                    </w:pPr>
                    <w:r>
                      <w:t>—</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Y4YmNkYWJhYWM2MzQyMWMzMWQyOGViYWViNWU5YjYifQ=="/>
  </w:docVars>
  <w:rsids>
    <w:rsidRoot w:val="00547D53"/>
    <w:rsid w:val="00010A0B"/>
    <w:rsid w:val="0013547D"/>
    <w:rsid w:val="001D262E"/>
    <w:rsid w:val="001D43BF"/>
    <w:rsid w:val="003D21B2"/>
    <w:rsid w:val="004A2DD6"/>
    <w:rsid w:val="00547D53"/>
    <w:rsid w:val="00612E52"/>
    <w:rsid w:val="00636C89"/>
    <w:rsid w:val="006C3353"/>
    <w:rsid w:val="00750CA4"/>
    <w:rsid w:val="00766446"/>
    <w:rsid w:val="007F41BB"/>
    <w:rsid w:val="0081477C"/>
    <w:rsid w:val="008F6BE4"/>
    <w:rsid w:val="0096426E"/>
    <w:rsid w:val="00A92EFE"/>
    <w:rsid w:val="00BA71A3"/>
    <w:rsid w:val="00BE1545"/>
    <w:rsid w:val="00DC25A5"/>
    <w:rsid w:val="00E812A9"/>
    <w:rsid w:val="00F721FB"/>
    <w:rsid w:val="00FE4EF8"/>
    <w:rsid w:val="01361BBA"/>
    <w:rsid w:val="016A6FD7"/>
    <w:rsid w:val="02510197"/>
    <w:rsid w:val="02CB7F49"/>
    <w:rsid w:val="032C490B"/>
    <w:rsid w:val="03A6394D"/>
    <w:rsid w:val="05926AFC"/>
    <w:rsid w:val="060B7314"/>
    <w:rsid w:val="06B34F7C"/>
    <w:rsid w:val="06B76C2C"/>
    <w:rsid w:val="072628EE"/>
    <w:rsid w:val="07B0770E"/>
    <w:rsid w:val="07E61381"/>
    <w:rsid w:val="08397703"/>
    <w:rsid w:val="0935611C"/>
    <w:rsid w:val="0A8D3D36"/>
    <w:rsid w:val="0C871385"/>
    <w:rsid w:val="0CFB58CF"/>
    <w:rsid w:val="0D5F19BA"/>
    <w:rsid w:val="0EC8358F"/>
    <w:rsid w:val="10223C86"/>
    <w:rsid w:val="10BE4C49"/>
    <w:rsid w:val="11C20769"/>
    <w:rsid w:val="13B011C1"/>
    <w:rsid w:val="13FF5CA5"/>
    <w:rsid w:val="150A66AF"/>
    <w:rsid w:val="16C17241"/>
    <w:rsid w:val="170B670F"/>
    <w:rsid w:val="189015C1"/>
    <w:rsid w:val="18AB1F57"/>
    <w:rsid w:val="19212219"/>
    <w:rsid w:val="19341F4D"/>
    <w:rsid w:val="1A475CB0"/>
    <w:rsid w:val="1DA63635"/>
    <w:rsid w:val="1F2C1918"/>
    <w:rsid w:val="1FA43082"/>
    <w:rsid w:val="1FAA740D"/>
    <w:rsid w:val="204D1B46"/>
    <w:rsid w:val="216929AF"/>
    <w:rsid w:val="228C547B"/>
    <w:rsid w:val="235B6329"/>
    <w:rsid w:val="23C245F9"/>
    <w:rsid w:val="23FC3FAF"/>
    <w:rsid w:val="255A37F2"/>
    <w:rsid w:val="26336079"/>
    <w:rsid w:val="26681488"/>
    <w:rsid w:val="268A3AF4"/>
    <w:rsid w:val="27906EE8"/>
    <w:rsid w:val="2BAC1E16"/>
    <w:rsid w:val="2D6D7CCB"/>
    <w:rsid w:val="2E3A7BAD"/>
    <w:rsid w:val="3046009A"/>
    <w:rsid w:val="323D60FF"/>
    <w:rsid w:val="332B21BB"/>
    <w:rsid w:val="350E769E"/>
    <w:rsid w:val="351F18AB"/>
    <w:rsid w:val="35B7CE4B"/>
    <w:rsid w:val="37A510D2"/>
    <w:rsid w:val="387719FE"/>
    <w:rsid w:val="39987E7E"/>
    <w:rsid w:val="3AA0523C"/>
    <w:rsid w:val="3BFA2707"/>
    <w:rsid w:val="3C94492D"/>
    <w:rsid w:val="3DF5CE95"/>
    <w:rsid w:val="3E393C20"/>
    <w:rsid w:val="3ECC2AA4"/>
    <w:rsid w:val="3FEC6DDE"/>
    <w:rsid w:val="40890A1F"/>
    <w:rsid w:val="43A0005B"/>
    <w:rsid w:val="43CA5D88"/>
    <w:rsid w:val="43ED0DC6"/>
    <w:rsid w:val="447C6924"/>
    <w:rsid w:val="44A818BD"/>
    <w:rsid w:val="451F76A5"/>
    <w:rsid w:val="4597723C"/>
    <w:rsid w:val="47B75973"/>
    <w:rsid w:val="47CD33E9"/>
    <w:rsid w:val="480F1C53"/>
    <w:rsid w:val="487E33E5"/>
    <w:rsid w:val="49064E04"/>
    <w:rsid w:val="492D2391"/>
    <w:rsid w:val="4BB235FB"/>
    <w:rsid w:val="4BEF2309"/>
    <w:rsid w:val="4E21623C"/>
    <w:rsid w:val="4F005E52"/>
    <w:rsid w:val="4F7C7BCE"/>
    <w:rsid w:val="4FDF1F0B"/>
    <w:rsid w:val="50AA42C7"/>
    <w:rsid w:val="50AC44E3"/>
    <w:rsid w:val="50FC7C51"/>
    <w:rsid w:val="51976F41"/>
    <w:rsid w:val="536C2285"/>
    <w:rsid w:val="53E977FC"/>
    <w:rsid w:val="53FA37B7"/>
    <w:rsid w:val="57D8796C"/>
    <w:rsid w:val="57EFDDD4"/>
    <w:rsid w:val="57FBF394"/>
    <w:rsid w:val="594854F3"/>
    <w:rsid w:val="5975743C"/>
    <w:rsid w:val="5A3115B5"/>
    <w:rsid w:val="5BEE1414"/>
    <w:rsid w:val="5BEF3276"/>
    <w:rsid w:val="5BEFE2F2"/>
    <w:rsid w:val="5DDF5591"/>
    <w:rsid w:val="5F79C0B1"/>
    <w:rsid w:val="5F95CB08"/>
    <w:rsid w:val="606326E4"/>
    <w:rsid w:val="61C40F61"/>
    <w:rsid w:val="62EF4FF4"/>
    <w:rsid w:val="641C6E32"/>
    <w:rsid w:val="64B85F7C"/>
    <w:rsid w:val="66D460EA"/>
    <w:rsid w:val="670A1B0C"/>
    <w:rsid w:val="6740552D"/>
    <w:rsid w:val="696372B1"/>
    <w:rsid w:val="6B7E4A87"/>
    <w:rsid w:val="6BA936A1"/>
    <w:rsid w:val="6D373F0E"/>
    <w:rsid w:val="6D4B0BFE"/>
    <w:rsid w:val="6D6C0E2A"/>
    <w:rsid w:val="6DB8406F"/>
    <w:rsid w:val="70AE3508"/>
    <w:rsid w:val="7238A1A9"/>
    <w:rsid w:val="72713458"/>
    <w:rsid w:val="72FB055A"/>
    <w:rsid w:val="77057BFA"/>
    <w:rsid w:val="772E7150"/>
    <w:rsid w:val="77F7F8FF"/>
    <w:rsid w:val="78187352"/>
    <w:rsid w:val="784B5AE0"/>
    <w:rsid w:val="790E0FE8"/>
    <w:rsid w:val="798C015E"/>
    <w:rsid w:val="79C63670"/>
    <w:rsid w:val="7A3B22B0"/>
    <w:rsid w:val="7A804167"/>
    <w:rsid w:val="7C5807CC"/>
    <w:rsid w:val="7C9E6261"/>
    <w:rsid w:val="7DFF6A45"/>
    <w:rsid w:val="7ECDA37D"/>
    <w:rsid w:val="7ED7BBBE"/>
    <w:rsid w:val="7F7A02D7"/>
    <w:rsid w:val="7FA93818"/>
    <w:rsid w:val="7FBF1BBB"/>
    <w:rsid w:val="7FD6DFF8"/>
    <w:rsid w:val="7FFB75EE"/>
    <w:rsid w:val="7FFDA6F7"/>
    <w:rsid w:val="967925CA"/>
    <w:rsid w:val="9CFF24DB"/>
    <w:rsid w:val="B379A68C"/>
    <w:rsid w:val="B79E3E69"/>
    <w:rsid w:val="BBD75B89"/>
    <w:rsid w:val="D6EE3C66"/>
    <w:rsid w:val="D777F942"/>
    <w:rsid w:val="D9DFC43C"/>
    <w:rsid w:val="DF6F9F20"/>
    <w:rsid w:val="DFAFF414"/>
    <w:rsid w:val="DFFDA593"/>
    <w:rsid w:val="E5EF4910"/>
    <w:rsid w:val="E7B953A1"/>
    <w:rsid w:val="ED9FDDDF"/>
    <w:rsid w:val="EDFF9A10"/>
    <w:rsid w:val="EEAA319A"/>
    <w:rsid w:val="EF6F4327"/>
    <w:rsid w:val="EFDDF330"/>
    <w:rsid w:val="FDBA5E20"/>
    <w:rsid w:val="FDEFCCE6"/>
    <w:rsid w:val="FF7B1EBB"/>
    <w:rsid w:val="FF7FC3A7"/>
    <w:rsid w:val="FFFE9800"/>
    <w:rsid w:val="FFFED5C2"/>
    <w:rsid w:val="FFFFF1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style>
  <w:style w:type="paragraph" w:styleId="3">
    <w:name w:val="Body Text"/>
    <w:basedOn w:val="1"/>
    <w:link w:val="14"/>
    <w:semiHidden/>
    <w:qFormat/>
    <w:uiPriority w:val="0"/>
    <w:rPr>
      <w:rFonts w:ascii="仿宋" w:hAnsi="仿宋" w:eastAsia="仿宋" w:cs="仿宋"/>
      <w:sz w:val="31"/>
      <w:szCs w:val="31"/>
    </w:rPr>
  </w:style>
  <w:style w:type="paragraph" w:styleId="4">
    <w:name w:val="Balloon Text"/>
    <w:basedOn w:val="1"/>
    <w:link w:val="15"/>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jc w:val="center"/>
    </w:pPr>
    <w:rPr>
      <w:sz w:val="18"/>
      <w:szCs w:val="18"/>
    </w:rPr>
  </w:style>
  <w:style w:type="paragraph" w:styleId="7">
    <w:name w:val="Normal (Web)"/>
    <w:basedOn w:val="1"/>
    <w:semiHidden/>
    <w:unhideWhenUsed/>
    <w:qFormat/>
    <w:uiPriority w:val="99"/>
    <w:pPr>
      <w:spacing w:before="100" w:beforeAutospacing="1" w:after="100" w:afterAutospacing="1"/>
    </w:pPr>
    <w:rPr>
      <w:rFonts w:ascii="宋体" w:hAnsi="宋体" w:eastAsia="宋体" w:cs="宋体"/>
      <w:sz w:val="24"/>
      <w:szCs w:val="24"/>
    </w:rPr>
  </w:style>
  <w:style w:type="character" w:styleId="10">
    <w:name w:val="Emphasis"/>
    <w:basedOn w:val="9"/>
    <w:qFormat/>
    <w:uiPriority w:val="0"/>
    <w:rPr>
      <w:i/>
    </w:rPr>
  </w:style>
  <w:style w:type="character" w:styleId="11">
    <w:name w:val="annotation reference"/>
    <w:basedOn w:val="9"/>
    <w:semiHidden/>
    <w:unhideWhenUsed/>
    <w:qFormat/>
    <w:uiPriority w:val="99"/>
    <w:rPr>
      <w:sz w:val="21"/>
      <w:szCs w:val="21"/>
    </w:rPr>
  </w:style>
  <w:style w:type="character" w:customStyle="1" w:styleId="12">
    <w:name w:val="页眉 Char"/>
    <w:basedOn w:val="9"/>
    <w:link w:val="6"/>
    <w:qFormat/>
    <w:uiPriority w:val="99"/>
    <w:rPr>
      <w:sz w:val="18"/>
      <w:szCs w:val="18"/>
    </w:rPr>
  </w:style>
  <w:style w:type="character" w:customStyle="1" w:styleId="13">
    <w:name w:val="页脚 Char"/>
    <w:basedOn w:val="9"/>
    <w:link w:val="5"/>
    <w:qFormat/>
    <w:uiPriority w:val="99"/>
    <w:rPr>
      <w:sz w:val="18"/>
      <w:szCs w:val="18"/>
    </w:rPr>
  </w:style>
  <w:style w:type="character" w:customStyle="1" w:styleId="14">
    <w:name w:val="正文文本 Char"/>
    <w:basedOn w:val="9"/>
    <w:link w:val="3"/>
    <w:semiHidden/>
    <w:qFormat/>
    <w:uiPriority w:val="0"/>
    <w:rPr>
      <w:rFonts w:ascii="仿宋" w:hAnsi="仿宋" w:eastAsia="仿宋" w:cs="仿宋"/>
      <w:snapToGrid w:val="0"/>
      <w:color w:val="000000"/>
      <w:kern w:val="0"/>
      <w:sz w:val="31"/>
      <w:szCs w:val="31"/>
      <w:lang w:eastAsia="en-US"/>
    </w:rPr>
  </w:style>
  <w:style w:type="character" w:customStyle="1" w:styleId="15">
    <w:name w:val="批注框文本 Char"/>
    <w:basedOn w:val="9"/>
    <w:link w:val="4"/>
    <w:semiHidden/>
    <w:qFormat/>
    <w:uiPriority w:val="99"/>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6</Pages>
  <Words>2661</Words>
  <Characters>2669</Characters>
  <Lines>17</Lines>
  <Paragraphs>4</Paragraphs>
  <TotalTime>3</TotalTime>
  <ScaleCrop>false</ScaleCrop>
  <LinksUpToDate>false</LinksUpToDate>
  <CharactersWithSpaces>2699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2024-11-29T08:50:00Z</dcterms:created>
  <dc:creator>李小宇</dc:creator>
  <cp:lastModifiedBy>人在囧途</cp:lastModifiedBy>
  <cp:lastPrinted>2025-04-11T07:17:00Z</cp:lastPrinted>
  <dcterms:modified xsi:type="dcterms:W3CDTF">2025-04-11T09:03:51Z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D11AB01A7CE4435B891EF7F6510411CF_13</vt:lpwstr>
  </property>
  <property fmtid="{D5CDD505-2E9C-101B-9397-08002B2CF9AE}" pid="4" name="KSOTemplateDocerSaveRecord">
    <vt:lpwstr>eyJoZGlkIjoiMDM3N2I1M2I2N2JhYzEzOWFhYzc0NTg0ZmI1NTM0MzYiLCJ1c2VySWQiOiIzOTk0ODg4MDgifQ==</vt:lpwstr>
  </property>
</Properties>
</file>